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72"/>
          <w:szCs w:val="72"/>
          <w:lang w:eastAsia="zh-CN"/>
        </w:rPr>
      </w:pPr>
      <w:r>
        <w:rPr>
          <w:rFonts w:hint="eastAsia" w:ascii="方正小标宋简体" w:eastAsia="方正小标宋简体"/>
          <w:sz w:val="72"/>
          <w:szCs w:val="72"/>
        </w:rPr>
        <w:t>大兴区</w:t>
      </w:r>
      <w:r>
        <w:rPr>
          <w:rFonts w:hint="eastAsia" w:ascii="方正小标宋简体" w:eastAsia="方正小标宋简体"/>
          <w:sz w:val="72"/>
          <w:szCs w:val="72"/>
          <w:lang w:eastAsia="zh-CN"/>
        </w:rPr>
        <w:t>人民代表大会常务委员会</w:t>
      </w:r>
    </w:p>
    <w:p>
      <w:pPr>
        <w:jc w:val="center"/>
        <w:rPr>
          <w:rFonts w:hint="eastAsia" w:ascii="方正小标宋简体" w:eastAsia="方正小标宋简体"/>
          <w:sz w:val="72"/>
          <w:szCs w:val="72"/>
        </w:rPr>
      </w:pPr>
      <w:r>
        <w:rPr>
          <w:rFonts w:hint="eastAsia" w:ascii="方正小标宋简体" w:eastAsia="方正小标宋简体"/>
          <w:sz w:val="72"/>
          <w:szCs w:val="72"/>
        </w:rPr>
        <w:t>20</w:t>
      </w:r>
      <w:r>
        <w:rPr>
          <w:rFonts w:hint="eastAsia" w:ascii="方正小标宋简体" w:eastAsia="方正小标宋简体"/>
          <w:sz w:val="72"/>
          <w:szCs w:val="72"/>
          <w:lang w:val="en-US" w:eastAsia="zh-CN"/>
        </w:rPr>
        <w:t>20</w:t>
      </w:r>
      <w:r>
        <w:rPr>
          <w:rFonts w:hint="eastAsia" w:ascii="方正小标宋简体" w:eastAsia="方正小标宋简体"/>
          <w:sz w:val="72"/>
          <w:szCs w:val="72"/>
        </w:rPr>
        <w:t>年度决算公开报表及说明</w:t>
      </w: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jc w:val="center"/>
        <w:rPr>
          <w:rFonts w:hint="eastAsia" w:ascii="方正小标宋简体" w:eastAsia="方正小标宋简体"/>
          <w:sz w:val="52"/>
          <w:szCs w:val="52"/>
        </w:rPr>
      </w:pPr>
    </w:p>
    <w:p>
      <w:pPr>
        <w:spacing w:line="500" w:lineRule="exact"/>
        <w:jc w:val="both"/>
        <w:rPr>
          <w:rFonts w:hint="eastAsia" w:ascii="宋体" w:hAnsi="宋体" w:cs="宋体"/>
          <w:b/>
          <w:bCs/>
          <w:kern w:val="0"/>
          <w:sz w:val="44"/>
          <w:szCs w:val="36"/>
        </w:rPr>
      </w:pPr>
    </w:p>
    <w:p>
      <w:pPr>
        <w:spacing w:line="500" w:lineRule="exact"/>
        <w:ind w:firstLine="645"/>
        <w:jc w:val="center"/>
        <w:rPr>
          <w:rFonts w:hint="eastAsia" w:ascii="宋体" w:hAnsi="宋体" w:cs="宋体"/>
          <w:b/>
          <w:bCs/>
          <w:kern w:val="0"/>
          <w:sz w:val="44"/>
          <w:szCs w:val="36"/>
        </w:rPr>
      </w:pPr>
    </w:p>
    <w:p>
      <w:pPr>
        <w:spacing w:line="50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2020年度部门决算报表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2020年度部门决算说明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2020年度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第四部分 2020年度部门绩效评价情况</w:t>
      </w:r>
    </w:p>
    <w:p>
      <w:pPr>
        <w:snapToGrid w:val="0"/>
        <w:spacing w:before="100" w:beforeAutospacing="1" w:after="100" w:afterAutospacing="1" w:line="240" w:lineRule="atLeast"/>
        <w:jc w:val="center"/>
        <w:rPr>
          <w:rFonts w:hint="eastAsia" w:ascii="方正小标宋简体" w:hAnsi="文星标宋" w:eastAsia="方正小标宋简体" w:cs="Tahoma"/>
          <w:color w:val="000000"/>
          <w:sz w:val="52"/>
          <w:szCs w:val="52"/>
        </w:rPr>
      </w:pP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44"/>
          <w:szCs w:val="44"/>
        </w:rPr>
        <w:t>第一部分 2020年度部门决算报表</w:t>
      </w:r>
    </w:p>
    <w:p>
      <w:pPr>
        <w:snapToGrid w:val="0"/>
        <w:spacing w:before="100" w:beforeAutospacing="1" w:after="100" w:afterAutospacing="1" w:line="240" w:lineRule="atLeast"/>
        <w:jc w:val="both"/>
        <w:rPr>
          <w:rFonts w:hint="eastAsia" w:ascii="仿宋_GB2312" w:hAnsi="宋体" w:eastAsia="仿宋_GB2312" w:cs="宋体"/>
          <w:bCs/>
          <w:spacing w:val="40"/>
          <w:kern w:val="0"/>
          <w:sz w:val="32"/>
          <w:szCs w:val="32"/>
        </w:rPr>
      </w:pPr>
    </w:p>
    <w:p>
      <w:pPr>
        <w:snapToGrid w:val="0"/>
        <w:spacing w:before="100" w:beforeAutospacing="1" w:after="100" w:afterAutospacing="1" w:line="240" w:lineRule="atLeast"/>
        <w:jc w:val="both"/>
        <w:rPr>
          <w:rFonts w:hint="eastAsia" w:ascii="仿宋_GB2312" w:hAnsi="宋体" w:eastAsia="仿宋_GB2312" w:cs="宋体"/>
          <w:bCs/>
          <w:spacing w:val="40"/>
          <w:kern w:val="0"/>
          <w:sz w:val="32"/>
          <w:szCs w:val="32"/>
        </w:rPr>
      </w:pPr>
    </w:p>
    <w:p>
      <w:pPr>
        <w:snapToGrid w:val="0"/>
        <w:spacing w:before="100" w:beforeAutospacing="1" w:after="100" w:afterAutospacing="1" w:line="240" w:lineRule="atLeast"/>
        <w:jc w:val="both"/>
        <w:rPr>
          <w:rFonts w:hint="eastAsia" w:ascii="方正小标宋简体" w:hAnsi="文星标宋" w:eastAsia="方正小标宋简体" w:cs="Tahoma"/>
          <w:color w:val="000000"/>
          <w:sz w:val="52"/>
          <w:szCs w:val="52"/>
        </w:rPr>
      </w:pPr>
      <w:r>
        <w:rPr>
          <w:rFonts w:hint="eastAsia" w:ascii="仿宋_GB2312" w:hAnsi="宋体" w:eastAsia="仿宋_GB2312" w:cs="宋体"/>
          <w:bCs/>
          <w:spacing w:val="40"/>
          <w:kern w:val="0"/>
          <w:sz w:val="32"/>
          <w:szCs w:val="32"/>
        </w:rPr>
        <w:t>报表详见附件</w:t>
      </w:r>
    </w:p>
    <w:p>
      <w:pPr>
        <w:snapToGrid w:val="0"/>
        <w:spacing w:before="100" w:beforeAutospacing="1" w:after="100" w:afterAutospacing="1" w:line="240" w:lineRule="atLeast"/>
        <w:jc w:val="center"/>
        <w:rPr>
          <w:rFonts w:hint="eastAsia"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hint="eastAsia"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hint="eastAsia" w:ascii="方正小标宋简体" w:hAnsi="文星标宋" w:eastAsia="方正小标宋简体" w:cs="Tahoma"/>
          <w:color w:val="000000"/>
          <w:sz w:val="52"/>
          <w:szCs w:val="52"/>
        </w:rPr>
      </w:pPr>
    </w:p>
    <w:p>
      <w:pPr>
        <w:snapToGrid w:val="0"/>
        <w:spacing w:before="100" w:beforeAutospacing="1" w:after="100" w:afterAutospacing="1" w:line="240" w:lineRule="atLeast"/>
        <w:jc w:val="both"/>
        <w:rPr>
          <w:rFonts w:hint="eastAsia"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hint="eastAsia"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w:t>
      </w:r>
      <w:r>
        <w:rPr>
          <w:rFonts w:hint="eastAsia" w:ascii="方正小标宋简体" w:hAnsi="文星标宋" w:eastAsia="方正小标宋简体" w:cs="Tahoma"/>
          <w:color w:val="000000"/>
          <w:sz w:val="52"/>
          <w:szCs w:val="52"/>
          <w:lang w:val="en-US" w:eastAsia="zh-CN"/>
        </w:rPr>
        <w:t>20</w:t>
      </w:r>
      <w:r>
        <w:rPr>
          <w:rFonts w:hint="eastAsia" w:ascii="方正小标宋简体" w:hAnsi="文星标宋" w:eastAsia="方正小标宋简体" w:cs="Tahoma"/>
          <w:color w:val="000000"/>
          <w:sz w:val="52"/>
          <w:szCs w:val="52"/>
        </w:rPr>
        <w:t>年度部门决算情况说明</w:t>
      </w:r>
    </w:p>
    <w:p>
      <w:pPr>
        <w:spacing w:line="62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一、部门基本情况</w:t>
      </w:r>
    </w:p>
    <w:p>
      <w:pPr>
        <w:spacing w:line="620" w:lineRule="exact"/>
        <w:ind w:left="359" w:leftChars="171" w:firstLine="320" w:firstLineChars="100"/>
        <w:rPr>
          <w:rFonts w:ascii="仿宋_GB2312" w:eastAsia="仿宋_GB2312"/>
          <w:sz w:val="32"/>
          <w:szCs w:val="32"/>
        </w:rPr>
      </w:pPr>
      <w:r>
        <w:rPr>
          <w:rFonts w:hint="eastAsia" w:ascii="仿宋_GB2312" w:eastAsia="仿宋_GB2312"/>
          <w:sz w:val="32"/>
          <w:szCs w:val="32"/>
        </w:rPr>
        <w:t>（一）本部门主要职责</w:t>
      </w:r>
    </w:p>
    <w:p>
      <w:pPr>
        <w:spacing w:line="620" w:lineRule="exact"/>
        <w:ind w:firstLine="640" w:firstLineChars="200"/>
        <w:rPr>
          <w:rFonts w:ascii="仿宋_GB2312" w:hAnsi="Tahoma" w:eastAsia="仿宋_GB2312" w:cs="Tahoma"/>
          <w:color w:val="000000"/>
          <w:sz w:val="32"/>
          <w:szCs w:val="32"/>
        </w:rPr>
      </w:pPr>
      <w:r>
        <w:rPr>
          <w:rFonts w:hint="eastAsia" w:ascii="仿宋_GB2312" w:hAnsi="Tahoma" w:eastAsia="仿宋_GB2312" w:cs="Tahoma"/>
          <w:color w:val="000000"/>
          <w:sz w:val="32"/>
          <w:szCs w:val="32"/>
        </w:rPr>
        <w:t>区人大常委会在区人民代表大会闭会期间，行使宪法和法律赋予的重大事项决定权、监督权和任免权。</w:t>
      </w:r>
    </w:p>
    <w:p>
      <w:pPr>
        <w:spacing w:line="620" w:lineRule="exact"/>
        <w:ind w:left="359" w:leftChars="171" w:firstLine="320" w:firstLineChars="100"/>
        <w:rPr>
          <w:rFonts w:ascii="仿宋_GB2312" w:hAnsi="宋体" w:eastAsia="仿宋_GB2312" w:cs="Tahoma"/>
          <w:color w:val="000000"/>
          <w:sz w:val="32"/>
          <w:szCs w:val="32"/>
        </w:rPr>
      </w:pPr>
      <w:r>
        <w:rPr>
          <w:rFonts w:hint="eastAsia" w:ascii="仿宋_GB2312" w:hAnsi="宋体" w:eastAsia="仿宋_GB2312" w:cs="Tahoma"/>
          <w:color w:val="000000"/>
          <w:sz w:val="32"/>
          <w:szCs w:val="32"/>
        </w:rPr>
        <w:t>（二）机构设置情况</w:t>
      </w:r>
    </w:p>
    <w:p>
      <w:pPr>
        <w:ind w:left="679"/>
        <w:rPr>
          <w:rFonts w:hint="eastAsia" w:ascii="仿宋_GB2312" w:eastAsia="仿宋_GB2312"/>
          <w:sz w:val="32"/>
          <w:szCs w:val="32"/>
          <w:lang w:eastAsia="zh-CN"/>
        </w:rPr>
      </w:pPr>
      <w:r>
        <w:rPr>
          <w:rFonts w:hint="eastAsia" w:ascii="仿宋_GB2312" w:eastAsia="仿宋_GB2312"/>
          <w:sz w:val="32"/>
          <w:szCs w:val="32"/>
        </w:rPr>
        <w:t>区人大常委会</w:t>
      </w:r>
      <w:r>
        <w:rPr>
          <w:rFonts w:hint="eastAsia" w:ascii="仿宋_GB2312" w:eastAsia="仿宋_GB2312"/>
          <w:sz w:val="32"/>
          <w:szCs w:val="32"/>
          <w:lang w:eastAsia="zh-CN"/>
        </w:rPr>
        <w:t>是行政单位。</w:t>
      </w:r>
    </w:p>
    <w:p>
      <w:pPr>
        <w:ind w:left="679"/>
        <w:rPr>
          <w:rFonts w:hint="eastAsia" w:ascii="仿宋_GB2312" w:eastAsia="仿宋_GB2312"/>
          <w:sz w:val="32"/>
          <w:szCs w:val="32"/>
        </w:rPr>
      </w:pPr>
      <w:r>
        <w:rPr>
          <w:rFonts w:hint="eastAsia" w:ascii="仿宋_GB2312" w:eastAsia="仿宋_GB2312"/>
          <w:sz w:val="32"/>
          <w:szCs w:val="32"/>
        </w:rPr>
        <w:t>设处级委室8个：区人大常委会办公室（下设秘书科、老干部科、行</w:t>
      </w:r>
    </w:p>
    <w:p>
      <w:pPr>
        <w:rPr>
          <w:rFonts w:ascii="仿宋_GB2312" w:eastAsia="仿宋_GB2312"/>
          <w:sz w:val="32"/>
          <w:szCs w:val="32"/>
        </w:rPr>
      </w:pPr>
      <w:r>
        <w:rPr>
          <w:rFonts w:hint="eastAsia" w:ascii="仿宋_GB2312" w:eastAsia="仿宋_GB2312"/>
          <w:sz w:val="32"/>
          <w:szCs w:val="32"/>
        </w:rPr>
        <w:t>政科）；区人大常委会代表联络室；区人大常委会法制办公室；区人大常委会财政经济办公室；区人大常委会农村办公室；区人大常委会教科文卫办公室；区人大常委会城乡建设环保办公室；区人大常委会研究室。</w:t>
      </w:r>
    </w:p>
    <w:p>
      <w:pPr>
        <w:ind w:firstLine="640" w:firstLineChars="200"/>
        <w:rPr>
          <w:rFonts w:ascii="仿宋_GB2312" w:eastAsia="仿宋_GB2312"/>
          <w:sz w:val="32"/>
          <w:szCs w:val="32"/>
        </w:rPr>
      </w:pPr>
      <w:r>
        <w:rPr>
          <w:rFonts w:hint="eastAsia" w:ascii="仿宋_GB2312" w:eastAsia="仿宋_GB2312"/>
          <w:sz w:val="32"/>
          <w:szCs w:val="32"/>
        </w:rPr>
        <w:t>设副处级委室1个：区人大常委会信访办公室。</w:t>
      </w:r>
    </w:p>
    <w:p>
      <w:pPr>
        <w:ind w:firstLine="640" w:firstLineChars="200"/>
        <w:rPr>
          <w:rFonts w:ascii="仿宋_GB2312" w:eastAsia="仿宋_GB2312"/>
          <w:sz w:val="32"/>
          <w:szCs w:val="32"/>
        </w:rPr>
      </w:pPr>
      <w:r>
        <w:rPr>
          <w:rFonts w:hint="eastAsia" w:ascii="仿宋_GB2312" w:eastAsia="仿宋_GB2312"/>
          <w:sz w:val="32"/>
          <w:szCs w:val="32"/>
        </w:rPr>
        <w:t>（三）人员情况</w:t>
      </w:r>
    </w:p>
    <w:p>
      <w:pPr>
        <w:ind w:left="640"/>
        <w:rPr>
          <w:rFonts w:hint="eastAsia" w:ascii="仿宋_GB2312" w:eastAsia="仿宋_GB2312"/>
          <w:sz w:val="32"/>
          <w:szCs w:val="32"/>
        </w:rPr>
      </w:pPr>
      <w:r>
        <w:rPr>
          <w:rFonts w:hint="eastAsia" w:ascii="仿宋_GB2312" w:eastAsia="仿宋_GB2312"/>
          <w:sz w:val="32"/>
          <w:szCs w:val="32"/>
        </w:rPr>
        <w:t>大兴区人民代表大会常务委员会机关在职人员</w:t>
      </w:r>
      <w:r>
        <w:rPr>
          <w:rFonts w:hint="eastAsia" w:ascii="仿宋_GB2312" w:eastAsia="仿宋_GB2312"/>
          <w:sz w:val="32"/>
          <w:szCs w:val="32"/>
          <w:lang w:val="en-US" w:eastAsia="zh-CN"/>
        </w:rPr>
        <w:t>57</w:t>
      </w:r>
      <w:r>
        <w:rPr>
          <w:rFonts w:hint="eastAsia" w:ascii="仿宋_GB2312" w:eastAsia="仿宋_GB2312"/>
          <w:sz w:val="32"/>
          <w:szCs w:val="32"/>
        </w:rPr>
        <w:t>人，离休</w:t>
      </w:r>
      <w:r>
        <w:rPr>
          <w:rFonts w:hint="eastAsia" w:ascii="仿宋_GB2312" w:eastAsia="仿宋_GB2312"/>
          <w:sz w:val="32"/>
          <w:szCs w:val="32"/>
          <w:lang w:val="en-US" w:eastAsia="zh-CN"/>
        </w:rPr>
        <w:t>2</w:t>
      </w:r>
      <w:r>
        <w:rPr>
          <w:rFonts w:hint="eastAsia" w:ascii="仿宋_GB2312" w:eastAsia="仿宋_GB2312"/>
          <w:sz w:val="32"/>
          <w:szCs w:val="32"/>
        </w:rPr>
        <w:t>人,退休5</w:t>
      </w:r>
      <w:r>
        <w:rPr>
          <w:rFonts w:hint="eastAsia" w:ascii="仿宋_GB2312" w:eastAsia="仿宋_GB2312"/>
          <w:sz w:val="32"/>
          <w:szCs w:val="32"/>
          <w:lang w:val="en-US" w:eastAsia="zh-CN"/>
        </w:rPr>
        <w:t>6</w:t>
      </w:r>
      <w:r>
        <w:rPr>
          <w:rFonts w:hint="eastAsia" w:ascii="仿宋_GB2312" w:eastAsia="仿宋_GB2312"/>
          <w:sz w:val="32"/>
          <w:szCs w:val="32"/>
        </w:rPr>
        <w:t>人，遗属</w:t>
      </w:r>
      <w:r>
        <w:rPr>
          <w:rFonts w:hint="eastAsia" w:ascii="仿宋_GB2312" w:eastAsia="仿宋_GB2312"/>
          <w:sz w:val="32"/>
          <w:szCs w:val="32"/>
          <w:lang w:val="en-US" w:eastAsia="zh-CN"/>
        </w:rPr>
        <w:t>1</w:t>
      </w:r>
      <w:r>
        <w:rPr>
          <w:rFonts w:hint="eastAsia" w:ascii="仿宋_GB2312" w:eastAsia="仿宋_GB2312"/>
          <w:sz w:val="32"/>
          <w:szCs w:val="32"/>
        </w:rPr>
        <w:t>人。区人大下</w:t>
      </w:r>
    </w:p>
    <w:p>
      <w:pPr>
        <w:rPr>
          <w:rFonts w:ascii="仿宋_GB2312" w:eastAsia="仿宋_GB2312"/>
          <w:sz w:val="32"/>
          <w:szCs w:val="32"/>
        </w:rPr>
      </w:pPr>
      <w:r>
        <w:rPr>
          <w:rFonts w:hint="eastAsia" w:ascii="仿宋_GB2312" w:eastAsia="仿宋_GB2312"/>
          <w:sz w:val="32"/>
          <w:szCs w:val="32"/>
        </w:rPr>
        <w:t>属北京市人大代表服务中心及北京市大兴区人大常委会法制监督服务中心是财政全额拨款的事业单位 ,在编人员1</w:t>
      </w:r>
      <w:r>
        <w:rPr>
          <w:rFonts w:hint="eastAsia" w:ascii="仿宋_GB2312" w:eastAsia="仿宋_GB2312"/>
          <w:sz w:val="32"/>
          <w:szCs w:val="32"/>
          <w:lang w:val="en-US" w:eastAsia="zh-CN"/>
        </w:rPr>
        <w:t>2</w:t>
      </w:r>
      <w:r>
        <w:rPr>
          <w:rFonts w:hint="eastAsia" w:ascii="仿宋_GB2312" w:eastAsia="仿宋_GB2312"/>
          <w:sz w:val="32"/>
          <w:szCs w:val="32"/>
        </w:rPr>
        <w:t>人。</w:t>
      </w:r>
    </w:p>
    <w:p>
      <w:pPr>
        <w:spacing w:line="62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spacing w:line="620" w:lineRule="exact"/>
        <w:ind w:firstLine="640" w:firstLineChars="200"/>
        <w:rPr>
          <w:rFonts w:ascii="仿宋_GB2312" w:eastAsia="仿宋_GB2312"/>
          <w:color w:val="000000"/>
          <w:sz w:val="32"/>
          <w:szCs w:val="32"/>
        </w:rPr>
      </w:pPr>
      <w:r>
        <w:rPr>
          <w:rFonts w:hint="eastAsia" w:ascii="仿宋_GB2312" w:hAnsi="Tahoma" w:eastAsia="仿宋_GB2312" w:cs="Tahoma"/>
          <w:color w:val="000000"/>
          <w:sz w:val="32"/>
          <w:szCs w:val="32"/>
        </w:rPr>
        <w:t>从</w:t>
      </w:r>
      <w:r>
        <w:rPr>
          <w:rFonts w:hint="eastAsia" w:ascii="仿宋_GB2312" w:hAnsi="Tahoma" w:eastAsia="仿宋_GB2312" w:cs="Tahoma"/>
          <w:color w:val="000000"/>
          <w:sz w:val="32"/>
          <w:szCs w:val="32"/>
          <w:lang w:eastAsia="zh-CN"/>
        </w:rPr>
        <w:t>决</w:t>
      </w:r>
      <w:r>
        <w:rPr>
          <w:rFonts w:hint="eastAsia" w:ascii="仿宋_GB2312" w:hAnsi="Tahoma" w:eastAsia="仿宋_GB2312" w:cs="Tahoma"/>
          <w:color w:val="000000"/>
          <w:sz w:val="32"/>
          <w:szCs w:val="32"/>
        </w:rPr>
        <w:t>算单位构成看，北京市大兴区人民代表大会常务委员会决算包括：北京市大兴区人民代表大会常务委员会本级决算、所属事业单位预算。具体为：北京市大兴区人民代表大会常务委员会、北京市大兴区人大代表服务中心、北京市大兴区人大常委会法制监督服务中心。</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年度收</w:t>
      </w:r>
      <w:r>
        <w:rPr>
          <w:rFonts w:hint="eastAsia" w:ascii="仿宋_GB2312" w:eastAsia="仿宋_GB2312"/>
          <w:color w:val="000000"/>
          <w:sz w:val="32"/>
          <w:szCs w:val="32"/>
          <w:lang w:eastAsia="zh-CN"/>
        </w:rPr>
        <w:t>入</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3559.17</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239.36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7.21</w:t>
      </w:r>
      <w:r>
        <w:rPr>
          <w:rFonts w:hint="eastAsia" w:ascii="仿宋_GB2312" w:eastAsia="仿宋_GB2312"/>
          <w:color w:val="000000"/>
          <w:sz w:val="32"/>
          <w:szCs w:val="32"/>
        </w:rPr>
        <w:t>%。</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2020年度支出总计3559.17万元，比上年增加239.36万元，增长7.21%。</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年度本年收入合计</w:t>
      </w:r>
      <w:r>
        <w:rPr>
          <w:rFonts w:hint="eastAsia" w:ascii="仿宋_GB2312" w:eastAsia="仿宋_GB2312"/>
          <w:color w:val="000000"/>
          <w:sz w:val="32"/>
          <w:szCs w:val="32"/>
          <w:lang w:val="en-US" w:eastAsia="zh-CN"/>
        </w:rPr>
        <w:t>3406.22</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103.21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3.12</w:t>
      </w:r>
      <w:r>
        <w:rPr>
          <w:rFonts w:hint="eastAsia" w:ascii="仿宋_GB2312" w:eastAsia="仿宋_GB2312"/>
          <w:color w:val="000000"/>
          <w:sz w:val="32"/>
          <w:szCs w:val="32"/>
        </w:rPr>
        <w:t>%，其中：财政拨款收入</w:t>
      </w:r>
      <w:r>
        <w:rPr>
          <w:rFonts w:hint="eastAsia" w:ascii="仿宋_GB2312" w:eastAsia="仿宋_GB2312"/>
          <w:color w:val="000000"/>
          <w:sz w:val="32"/>
          <w:szCs w:val="32"/>
          <w:lang w:val="en-US" w:eastAsia="zh-CN"/>
        </w:rPr>
        <w:t>3406.22</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年度本年支出合计</w:t>
      </w:r>
      <w:r>
        <w:rPr>
          <w:rFonts w:hint="eastAsia" w:ascii="仿宋_GB2312" w:eastAsia="仿宋_GB2312"/>
          <w:color w:val="000000"/>
          <w:sz w:val="32"/>
          <w:szCs w:val="32"/>
          <w:lang w:val="en-US" w:eastAsia="zh-CN"/>
        </w:rPr>
        <w:t>3553.93</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389.02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12.29</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2490.67</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70.08</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1063.27</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29.92</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年度财政拨款收</w:t>
      </w:r>
      <w:r>
        <w:rPr>
          <w:rFonts w:hint="eastAsia" w:ascii="仿宋_GB2312" w:eastAsia="仿宋_GB2312"/>
          <w:color w:val="000000"/>
          <w:sz w:val="32"/>
          <w:szCs w:val="32"/>
          <w:lang w:eastAsia="zh-CN"/>
        </w:rPr>
        <w:t>入</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3559.17</w:t>
      </w:r>
      <w:r>
        <w:rPr>
          <w:rFonts w:hint="eastAsia" w:ascii="仿宋_GB2312" w:eastAsia="仿宋_GB2312"/>
          <w:color w:val="000000"/>
          <w:sz w:val="32"/>
          <w:szCs w:val="32"/>
        </w:rPr>
        <w:t>万元，比上年</w:t>
      </w:r>
      <w:r>
        <w:rPr>
          <w:rFonts w:ascii="仿宋_GB2312" w:eastAsia="仿宋_GB2312"/>
          <w:color w:val="000000"/>
          <w:sz w:val="32"/>
          <w:szCs w:val="32"/>
        </w:rPr>
        <w:t>增加</w:t>
      </w:r>
      <w:r>
        <w:rPr>
          <w:rFonts w:hint="eastAsia" w:ascii="仿宋_GB2312" w:eastAsia="仿宋_GB2312"/>
          <w:color w:val="000000"/>
          <w:sz w:val="32"/>
          <w:szCs w:val="32"/>
          <w:lang w:val="en-US" w:eastAsia="zh-CN"/>
        </w:rPr>
        <w:t>239.36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7.21</w:t>
      </w:r>
      <w:r>
        <w:rPr>
          <w:rFonts w:hint="eastAsia" w:ascii="仿宋_GB2312" w:eastAsia="仿宋_GB2312"/>
          <w:color w:val="000000"/>
          <w:sz w:val="32"/>
          <w:szCs w:val="32"/>
        </w:rPr>
        <w:t>%。</w:t>
      </w:r>
    </w:p>
    <w:p>
      <w:pPr>
        <w:tabs>
          <w:tab w:val="center" w:pos="6979"/>
        </w:tabs>
        <w:spacing w:line="560" w:lineRule="exact"/>
        <w:ind w:firstLine="57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2020年度支出总计3559.17万元，比上年增加239.36万元，增长7.21%。</w:t>
      </w:r>
    </w:p>
    <w:p>
      <w:pPr>
        <w:tabs>
          <w:tab w:val="center" w:pos="6979"/>
        </w:tabs>
        <w:spacing w:line="560" w:lineRule="exact"/>
        <w:ind w:firstLine="1187" w:firstLineChars="371"/>
        <w:rPr>
          <w:rFonts w:ascii="仿宋_GB2312" w:eastAsia="仿宋_GB2312"/>
          <w:color w:val="000000"/>
          <w:sz w:val="32"/>
          <w:szCs w:val="32"/>
        </w:rPr>
      </w:pP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是</w:t>
      </w:r>
      <w:r>
        <w:rPr>
          <w:rFonts w:hint="eastAsia" w:ascii="仿宋_GB2312" w:eastAsia="仿宋_GB2312"/>
          <w:color w:val="000000"/>
          <w:sz w:val="32"/>
          <w:szCs w:val="32"/>
          <w:lang w:val="en-US" w:eastAsia="zh-CN"/>
        </w:rPr>
        <w:t>2020年给在职人员发放了购房补贴。</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年度一般公共预算财政拨款支出</w:t>
      </w:r>
      <w:r>
        <w:rPr>
          <w:rFonts w:hint="eastAsia" w:ascii="仿宋_GB2312" w:eastAsia="仿宋_GB2312"/>
          <w:color w:val="000000"/>
          <w:sz w:val="32"/>
          <w:szCs w:val="32"/>
          <w:lang w:val="en-US" w:eastAsia="zh-CN"/>
        </w:rPr>
        <w:t>3553.93</w:t>
      </w:r>
      <w:r>
        <w:rPr>
          <w:rFonts w:hint="eastAsia" w:ascii="仿宋_GB2312" w:eastAsia="仿宋_GB2312"/>
          <w:color w:val="000000"/>
          <w:sz w:val="32"/>
          <w:szCs w:val="32"/>
        </w:rPr>
        <w:t>万元，主要用于以下方面：一般公共服务支出</w:t>
      </w:r>
      <w:r>
        <w:rPr>
          <w:rFonts w:hint="eastAsia" w:ascii="仿宋_GB2312" w:eastAsia="仿宋_GB2312"/>
          <w:color w:val="000000"/>
          <w:sz w:val="32"/>
          <w:szCs w:val="32"/>
          <w:lang w:val="en-US" w:eastAsia="zh-CN"/>
        </w:rPr>
        <w:t>2907.31</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81.81</w:t>
      </w:r>
      <w:r>
        <w:rPr>
          <w:rFonts w:hint="eastAsia" w:ascii="仿宋_GB2312" w:eastAsia="仿宋_GB2312"/>
          <w:color w:val="000000"/>
          <w:sz w:val="32"/>
          <w:szCs w:val="32"/>
        </w:rPr>
        <w:t>%；教育支出</w:t>
      </w:r>
      <w:r>
        <w:rPr>
          <w:rFonts w:hint="eastAsia" w:ascii="仿宋_GB2312" w:eastAsia="仿宋_GB2312"/>
          <w:color w:val="000000"/>
          <w:sz w:val="32"/>
          <w:szCs w:val="32"/>
          <w:lang w:val="en-US" w:eastAsia="zh-CN"/>
        </w:rPr>
        <w:t>2.49</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0.07</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380.74</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10.71</w:t>
      </w:r>
      <w:r>
        <w:rPr>
          <w:rFonts w:hint="eastAsia" w:ascii="仿宋_GB2312" w:eastAsia="仿宋_GB2312"/>
          <w:color w:val="000000"/>
          <w:sz w:val="32"/>
          <w:szCs w:val="32"/>
        </w:rPr>
        <w:t>%；</w:t>
      </w:r>
      <w:r>
        <w:rPr>
          <w:rFonts w:hint="eastAsia" w:ascii="仿宋_GB2312" w:eastAsia="仿宋_GB2312"/>
          <w:color w:val="000000"/>
          <w:sz w:val="32"/>
          <w:szCs w:val="32"/>
          <w:lang w:eastAsia="zh-CN"/>
        </w:rPr>
        <w:t>卫生键康</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115.78</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3.26</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lang w:val="en-US" w:eastAsia="zh-CN"/>
        </w:rPr>
        <w:t>147.61万元，占本年财政拨款支出4.15%</w:t>
      </w:r>
      <w:r>
        <w:rPr>
          <w:rFonts w:hint="eastAsia" w:ascii="仿宋_GB2312" w:eastAsia="仿宋_GB2312"/>
          <w:color w:val="000000"/>
          <w:sz w:val="32"/>
          <w:szCs w:val="32"/>
        </w:rPr>
        <w:t>。</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2907.31</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年年初预算增加</w:t>
      </w:r>
      <w:r>
        <w:rPr>
          <w:rFonts w:hint="eastAsia" w:ascii="仿宋_GB2312" w:eastAsia="仿宋_GB2312"/>
          <w:color w:val="000000"/>
          <w:sz w:val="32"/>
          <w:szCs w:val="32"/>
          <w:lang w:val="en-US" w:eastAsia="zh-CN"/>
        </w:rPr>
        <w:t>259.09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9.78</w:t>
      </w:r>
      <w:r>
        <w:rPr>
          <w:rFonts w:hint="eastAsia" w:ascii="仿宋_GB2312" w:eastAsia="仿宋_GB2312"/>
          <w:color w:val="000000"/>
          <w:sz w:val="32"/>
          <w:szCs w:val="32"/>
        </w:rPr>
        <w:t>%。</w:t>
      </w:r>
    </w:p>
    <w:p>
      <w:pPr>
        <w:autoSpaceDE w:val="0"/>
        <w:autoSpaceDN w:val="0"/>
        <w:adjustRightInd w:val="0"/>
        <w:spacing w:line="560" w:lineRule="exact"/>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rPr>
        <w:t>“人大事务”20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2907.31</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年年初预算增加</w:t>
      </w:r>
      <w:r>
        <w:rPr>
          <w:rFonts w:hint="eastAsia" w:ascii="仿宋_GB2312" w:eastAsia="仿宋_GB2312"/>
          <w:color w:val="000000"/>
          <w:sz w:val="32"/>
          <w:szCs w:val="32"/>
          <w:lang w:val="en-US" w:eastAsia="zh-CN"/>
        </w:rPr>
        <w:t>259.09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9.78</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其中：</w:t>
      </w:r>
    </w:p>
    <w:p>
      <w:pPr>
        <w:numPr>
          <w:ilvl w:val="0"/>
          <w:numId w:val="1"/>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行政运行20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1606.22</w:t>
      </w:r>
      <w:r>
        <w:rPr>
          <w:rFonts w:hint="eastAsia" w:ascii="仿宋_GB2312" w:eastAsia="仿宋_GB2312"/>
          <w:color w:val="000000"/>
          <w:sz w:val="32"/>
          <w:szCs w:val="32"/>
        </w:rPr>
        <w:t>，比20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年年初预算增加</w:t>
      </w:r>
      <w:r>
        <w:rPr>
          <w:rFonts w:hint="eastAsia" w:ascii="仿宋_GB2312" w:eastAsia="仿宋_GB2312"/>
          <w:color w:val="000000"/>
          <w:sz w:val="32"/>
          <w:szCs w:val="32"/>
          <w:lang w:val="en-US" w:eastAsia="zh-CN"/>
        </w:rPr>
        <w:t>228.73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16.60</w:t>
      </w:r>
      <w:r>
        <w:rPr>
          <w:rFonts w:hint="eastAsia" w:ascii="仿宋_GB2312" w:eastAsia="仿宋_GB2312"/>
          <w:color w:val="000000"/>
          <w:sz w:val="32"/>
          <w:szCs w:val="32"/>
        </w:rPr>
        <w:t>%。主要原因是人员工资增加。</w:t>
      </w:r>
    </w:p>
    <w:p>
      <w:pPr>
        <w:numPr>
          <w:ilvl w:val="0"/>
          <w:numId w:val="1"/>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人大会议20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81.82</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年年初预算减少</w:t>
      </w:r>
      <w:r>
        <w:rPr>
          <w:rFonts w:hint="eastAsia" w:ascii="仿宋_GB2312" w:eastAsia="仿宋_GB2312"/>
          <w:color w:val="000000"/>
          <w:sz w:val="32"/>
          <w:szCs w:val="32"/>
          <w:lang w:val="en-US" w:eastAsia="zh-CN"/>
        </w:rPr>
        <w:t>96.93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54.23</w:t>
      </w:r>
      <w:r>
        <w:rPr>
          <w:rFonts w:hint="eastAsia" w:ascii="仿宋_GB2312" w:eastAsia="仿宋_GB2312"/>
          <w:color w:val="000000"/>
          <w:sz w:val="32"/>
          <w:szCs w:val="32"/>
        </w:rPr>
        <w:t>%。主要原因是本着厉行节约的原则，严格</w:t>
      </w:r>
      <w:r>
        <w:rPr>
          <w:rFonts w:hint="eastAsia" w:ascii="仿宋_GB2312" w:eastAsia="仿宋_GB2312"/>
          <w:color w:val="000000"/>
          <w:sz w:val="32"/>
          <w:szCs w:val="32"/>
          <w:lang w:eastAsia="zh-CN"/>
        </w:rPr>
        <w:t>按照政府协议价格支付</w:t>
      </w:r>
      <w:r>
        <w:rPr>
          <w:rFonts w:hint="eastAsia" w:ascii="仿宋_GB2312" w:eastAsia="仿宋_GB2312"/>
          <w:color w:val="000000"/>
          <w:sz w:val="32"/>
          <w:szCs w:val="32"/>
        </w:rPr>
        <w:t>会议费。</w:t>
      </w:r>
    </w:p>
    <w:p>
      <w:pPr>
        <w:numPr>
          <w:ilvl w:val="0"/>
          <w:numId w:val="1"/>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人大立法20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10.50</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年年初预算减少</w:t>
      </w:r>
      <w:r>
        <w:rPr>
          <w:rFonts w:hint="eastAsia" w:ascii="仿宋_GB2312" w:eastAsia="仿宋_GB2312"/>
          <w:color w:val="000000"/>
          <w:sz w:val="32"/>
          <w:szCs w:val="32"/>
          <w:lang w:val="en-US" w:eastAsia="zh-CN"/>
        </w:rPr>
        <w:t>2.70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20.45%</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疫情期间消减经费。</w:t>
      </w:r>
    </w:p>
    <w:p>
      <w:pPr>
        <w:numPr>
          <w:ilvl w:val="0"/>
          <w:numId w:val="1"/>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人大监督20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2.56</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年年初预算减少</w:t>
      </w:r>
      <w:r>
        <w:rPr>
          <w:rFonts w:hint="eastAsia" w:ascii="仿宋_GB2312" w:eastAsia="仿宋_GB2312"/>
          <w:color w:val="000000"/>
          <w:sz w:val="32"/>
          <w:szCs w:val="32"/>
          <w:lang w:val="en-US" w:eastAsia="zh-CN"/>
        </w:rPr>
        <w:t>0.80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23.81%</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疫情期间消减经费。</w:t>
      </w:r>
    </w:p>
    <w:p>
      <w:pPr>
        <w:numPr>
          <w:ilvl w:val="0"/>
          <w:numId w:val="1"/>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代表工作20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48.20</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年年初预算减少</w:t>
      </w:r>
      <w:r>
        <w:rPr>
          <w:rFonts w:hint="eastAsia" w:ascii="仿宋_GB2312" w:eastAsia="仿宋_GB2312"/>
          <w:color w:val="000000"/>
          <w:sz w:val="32"/>
          <w:szCs w:val="32"/>
          <w:lang w:val="en-US" w:eastAsia="zh-CN"/>
        </w:rPr>
        <w:t>47.49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49.63</w:t>
      </w:r>
      <w:r>
        <w:rPr>
          <w:rFonts w:hint="eastAsia" w:ascii="仿宋_GB2312" w:eastAsia="仿宋_GB2312"/>
          <w:color w:val="000000"/>
          <w:sz w:val="32"/>
          <w:szCs w:val="32"/>
        </w:rPr>
        <w:t>%，主要原因是本着节约的原则减少了视察、检查的经费支出。</w:t>
      </w:r>
    </w:p>
    <w:p>
      <w:pPr>
        <w:numPr>
          <w:ilvl w:val="0"/>
          <w:numId w:val="1"/>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事业运行20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240.32</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24.73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11.47%，主要原因是人员工资增加</w:t>
      </w:r>
      <w:r>
        <w:rPr>
          <w:rFonts w:hint="eastAsia" w:ascii="仿宋_GB2312" w:eastAsia="仿宋_GB2312"/>
          <w:color w:val="000000"/>
          <w:sz w:val="32"/>
          <w:szCs w:val="32"/>
        </w:rPr>
        <w:t>。</w:t>
      </w:r>
    </w:p>
    <w:p>
      <w:pPr>
        <w:numPr>
          <w:ilvl w:val="0"/>
          <w:numId w:val="1"/>
        </w:num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其他人大事务支出20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917.69</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年年初预算增加</w:t>
      </w:r>
      <w:r>
        <w:rPr>
          <w:rFonts w:hint="eastAsia" w:ascii="仿宋_GB2312" w:eastAsia="仿宋_GB2312"/>
          <w:color w:val="000000"/>
          <w:sz w:val="32"/>
          <w:szCs w:val="32"/>
          <w:lang w:val="en-US" w:eastAsia="zh-CN"/>
        </w:rPr>
        <w:t>153.55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20.09</w:t>
      </w:r>
      <w:r>
        <w:rPr>
          <w:rFonts w:hint="eastAsia" w:ascii="仿宋_GB2312" w:eastAsia="仿宋_GB2312"/>
          <w:color w:val="000000"/>
          <w:sz w:val="32"/>
          <w:szCs w:val="32"/>
        </w:rPr>
        <w:t>%。主要原因是人大代表服务中心时间年久设备损坏追加了维修费资金及今年根据北京市人大关于预算联网监督工作的要求，建立大兴区人大综合监督网络中心也追加了资金，所以经费增加。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2、教育支出20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2.49</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0.63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20.19</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w:t>
      </w:r>
      <w:r>
        <w:rPr>
          <w:rFonts w:hint="eastAsia" w:ascii="仿宋_GB2312" w:eastAsia="仿宋_GB2312"/>
          <w:color w:val="000000"/>
          <w:sz w:val="32"/>
          <w:szCs w:val="32"/>
        </w:rPr>
        <w:t>培训</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所以经费</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3、社会保障和就业支出20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380.74</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年年初预算增加</w:t>
      </w:r>
      <w:r>
        <w:rPr>
          <w:rFonts w:hint="eastAsia" w:ascii="仿宋_GB2312" w:eastAsia="仿宋_GB2312"/>
          <w:color w:val="000000"/>
          <w:sz w:val="32"/>
          <w:szCs w:val="32"/>
          <w:lang w:val="en-US" w:eastAsia="zh-CN"/>
        </w:rPr>
        <w:t>16.52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4.54</w:t>
      </w:r>
      <w:r>
        <w:rPr>
          <w:rFonts w:hint="eastAsia" w:ascii="仿宋_GB2312" w:eastAsia="仿宋_GB2312"/>
          <w:color w:val="000000"/>
          <w:sz w:val="32"/>
          <w:szCs w:val="32"/>
        </w:rPr>
        <w:t>%。其中：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（1）归口管理的行政单位离退休20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127.13</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年年初预算增加</w:t>
      </w:r>
      <w:r>
        <w:rPr>
          <w:rFonts w:hint="eastAsia" w:ascii="仿宋_GB2312" w:eastAsia="仿宋_GB2312"/>
          <w:color w:val="000000"/>
          <w:sz w:val="32"/>
          <w:szCs w:val="32"/>
          <w:lang w:val="en-US" w:eastAsia="zh-CN"/>
        </w:rPr>
        <w:t>6.12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5.06</w:t>
      </w:r>
      <w:r>
        <w:rPr>
          <w:rFonts w:hint="eastAsia" w:ascii="仿宋_GB2312" w:eastAsia="仿宋_GB2312"/>
          <w:color w:val="000000"/>
          <w:sz w:val="32"/>
          <w:szCs w:val="32"/>
        </w:rPr>
        <w:t>%。主要原因是离休人员</w:t>
      </w:r>
      <w:r>
        <w:rPr>
          <w:rFonts w:hint="eastAsia" w:ascii="仿宋_GB2312" w:eastAsia="仿宋_GB2312"/>
          <w:color w:val="000000"/>
          <w:sz w:val="32"/>
          <w:szCs w:val="32"/>
          <w:lang w:eastAsia="zh-CN"/>
        </w:rPr>
        <w:t>去世追加了抚恤金</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（2）机关事业单位基本养老保险缴费20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年度决算</w:t>
      </w:r>
      <w:r>
        <w:rPr>
          <w:rFonts w:hint="eastAsia" w:ascii="仿宋_GB2312" w:eastAsia="仿宋_GB2312"/>
          <w:color w:val="000000"/>
          <w:sz w:val="32"/>
          <w:szCs w:val="32"/>
          <w:lang w:val="en-US" w:eastAsia="zh-CN"/>
        </w:rPr>
        <w:t>144.92</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17.22万元，下降10.62%。主要原因是在职人员退休</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（3）机关事业单位职业年金缴费支出20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年年度决算</w:t>
      </w:r>
      <w:r>
        <w:rPr>
          <w:rFonts w:hint="eastAsia" w:ascii="仿宋_GB2312" w:eastAsia="仿宋_GB2312"/>
          <w:color w:val="000000"/>
          <w:sz w:val="32"/>
          <w:szCs w:val="32"/>
          <w:lang w:val="en-US" w:eastAsia="zh-CN"/>
        </w:rPr>
        <w:t>108.69</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27.62万元，增长34.07%</w:t>
      </w:r>
      <w:r>
        <w:rPr>
          <w:rFonts w:hint="eastAsia" w:ascii="仿宋_GB2312" w:eastAsia="仿宋_GB2312"/>
          <w:color w:val="000000"/>
          <w:sz w:val="32"/>
          <w:szCs w:val="32"/>
        </w:rPr>
        <w:t>。</w:t>
      </w:r>
      <w:r>
        <w:rPr>
          <w:rFonts w:hint="eastAsia" w:ascii="仿宋_GB2312" w:eastAsia="仿宋_GB2312"/>
          <w:color w:val="000000"/>
          <w:sz w:val="32"/>
          <w:szCs w:val="32"/>
          <w:lang w:eastAsia="zh-CN"/>
        </w:rPr>
        <w:t>主要原因是保险缴费调整。</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eastAsia="zh-CN"/>
        </w:rPr>
        <w:t>卫生健康</w:t>
      </w:r>
      <w:r>
        <w:rPr>
          <w:rFonts w:hint="eastAsia" w:ascii="仿宋_GB2312" w:eastAsia="仿宋_GB2312"/>
          <w:color w:val="000000"/>
          <w:sz w:val="32"/>
          <w:szCs w:val="32"/>
        </w:rPr>
        <w:t>支出20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年年度决算</w:t>
      </w:r>
      <w:r>
        <w:rPr>
          <w:rFonts w:hint="eastAsia" w:ascii="仿宋_GB2312" w:eastAsia="仿宋_GB2312"/>
          <w:color w:val="000000"/>
          <w:sz w:val="32"/>
          <w:szCs w:val="32"/>
          <w:lang w:val="en-US" w:eastAsia="zh-CN"/>
        </w:rPr>
        <w:t>115.78</w:t>
      </w:r>
      <w:r>
        <w:rPr>
          <w:rFonts w:hint="eastAsia" w:ascii="仿宋_GB2312" w:eastAsia="仿宋_GB2312"/>
          <w:color w:val="000000"/>
          <w:sz w:val="32"/>
          <w:szCs w:val="32"/>
        </w:rPr>
        <w:t>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28.31万元，下降19.65%。主要原因是是保险缴费调整</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5、住房保障支出2019年年度决算147.61万元。年初没有预算，按政策是当年追加的购房资金。</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lang w:eastAsia="zh-CN"/>
        </w:rPr>
        <w:t>六</w:t>
      </w:r>
      <w:r>
        <w:rPr>
          <w:rFonts w:hint="eastAsia" w:ascii="黑体" w:hAnsi="文星标宋" w:eastAsia="黑体" w:cs="Tahoma"/>
          <w:color w:val="000000"/>
          <w:sz w:val="32"/>
          <w:szCs w:val="32"/>
        </w:rPr>
        <w:t>、政府性基金预算财政拨款支出决算情况说明</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本年度无此项支出</w:t>
      </w:r>
    </w:p>
    <w:p>
      <w:pPr>
        <w:tabs>
          <w:tab w:val="center" w:pos="6979"/>
        </w:tabs>
        <w:spacing w:line="560" w:lineRule="exact"/>
        <w:ind w:firstLine="640" w:firstLineChars="200"/>
        <w:jc w:val="left"/>
        <w:rPr>
          <w:rFonts w:hint="eastAsia" w:ascii="黑体" w:hAnsi="黑体" w:eastAsia="黑体" w:cs="黑体"/>
          <w:b w:val="0"/>
          <w:bCs w:val="0"/>
          <w:color w:val="000000"/>
          <w:sz w:val="32"/>
          <w:szCs w:val="32"/>
          <w:lang w:eastAsia="zh-CN"/>
        </w:rPr>
      </w:pPr>
      <w:r>
        <w:rPr>
          <w:rFonts w:hint="eastAsia" w:ascii="黑体" w:hAnsi="文星标宋" w:eastAsia="黑体" w:cs="Tahoma"/>
          <w:color w:val="000000"/>
          <w:sz w:val="32"/>
          <w:szCs w:val="32"/>
          <w:lang w:eastAsia="zh-CN"/>
        </w:rPr>
        <w:t>七</w:t>
      </w:r>
      <w:r>
        <w:rPr>
          <w:rFonts w:hint="eastAsia" w:ascii="黑体" w:hAnsi="文星标宋" w:eastAsia="黑体" w:cs="Tahoma"/>
          <w:color w:val="000000"/>
          <w:sz w:val="32"/>
          <w:szCs w:val="32"/>
        </w:rPr>
        <w:t>、</w:t>
      </w:r>
      <w:r>
        <w:rPr>
          <w:rFonts w:hint="eastAsia" w:ascii="黑体" w:hAnsi="黑体" w:eastAsia="黑体" w:cs="黑体"/>
          <w:b w:val="0"/>
          <w:bCs w:val="0"/>
          <w:color w:val="000000"/>
          <w:sz w:val="32"/>
          <w:szCs w:val="32"/>
          <w:lang w:eastAsia="zh-CN"/>
        </w:rPr>
        <w:t>国有资本经营预算财政拨款支出决算表</w:t>
      </w:r>
    </w:p>
    <w:p>
      <w:pPr>
        <w:tabs>
          <w:tab w:val="center" w:pos="6979"/>
        </w:tabs>
        <w:spacing w:line="500" w:lineRule="exact"/>
        <w:jc w:val="left"/>
        <w:rPr>
          <w:rFonts w:hint="eastAsia" w:ascii="仿宋_GB2312" w:hAnsi="文星标宋" w:eastAsia="仿宋_GB2312" w:cs="Tahoma"/>
          <w:color w:val="000000"/>
          <w:sz w:val="32"/>
          <w:szCs w:val="32"/>
          <w:lang w:eastAsia="zh-CN"/>
        </w:rPr>
      </w:pPr>
      <w:r>
        <w:rPr>
          <w:rFonts w:hint="eastAsia" w:ascii="仿宋_GB2312" w:hAnsi="仿宋" w:eastAsia="仿宋_GB2312" w:cs="宋体"/>
          <w:bCs/>
          <w:spacing w:val="40"/>
          <w:kern w:val="0"/>
          <w:sz w:val="32"/>
          <w:szCs w:val="32"/>
          <w:lang w:val="en-US" w:eastAsia="zh-CN"/>
        </w:rPr>
        <w:t xml:space="preserve">   </w:t>
      </w:r>
      <w:r>
        <w:rPr>
          <w:rFonts w:hint="eastAsia" w:ascii="仿宋_GB2312" w:eastAsia="仿宋_GB2312"/>
          <w:color w:val="000000"/>
          <w:sz w:val="32"/>
          <w:szCs w:val="32"/>
          <w:lang w:eastAsia="zh-CN"/>
        </w:rPr>
        <w:t>本年度</w:t>
      </w:r>
      <w:r>
        <w:rPr>
          <w:rFonts w:hint="eastAsia" w:ascii="仿宋_GB2312" w:hAnsi="文星标宋" w:eastAsia="仿宋_GB2312" w:cs="Tahoma"/>
          <w:color w:val="000000"/>
          <w:sz w:val="32"/>
          <w:szCs w:val="32"/>
          <w:lang w:eastAsia="zh-CN"/>
        </w:rPr>
        <w:t>无此项支出</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lang w:eastAsia="zh-CN"/>
        </w:rPr>
        <w:t>八</w:t>
      </w:r>
      <w:r>
        <w:rPr>
          <w:rFonts w:hint="eastAsia" w:ascii="黑体" w:hAnsi="文星标宋" w:eastAsia="黑体" w:cs="宋体"/>
          <w:bCs/>
          <w:color w:val="000000"/>
          <w:kern w:val="0"/>
          <w:sz w:val="32"/>
          <w:szCs w:val="32"/>
        </w:rPr>
        <w:t>、财政拨款基本支出决算情况说明</w:t>
      </w:r>
    </w:p>
    <w:p>
      <w:pPr>
        <w:tabs>
          <w:tab w:val="center" w:pos="6979"/>
        </w:tabs>
        <w:spacing w:line="560" w:lineRule="exact"/>
        <w:ind w:firstLine="627" w:firstLineChars="196"/>
        <w:rPr>
          <w:rFonts w:hint="eastAsia" w:ascii="仿宋_GB2312" w:hAnsi="仿宋" w:eastAsia="仿宋_GB2312" w:cs="宋体"/>
          <w:bCs/>
          <w:spacing w:val="40"/>
          <w:kern w:val="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年本部门使用一般公共预算财政拨款安排基本支出</w:t>
      </w:r>
      <w:r>
        <w:rPr>
          <w:rFonts w:hint="eastAsia" w:ascii="仿宋_GB2312" w:eastAsia="仿宋_GB2312"/>
          <w:color w:val="000000"/>
          <w:sz w:val="32"/>
          <w:szCs w:val="32"/>
          <w:lang w:val="en-US" w:eastAsia="zh-CN"/>
        </w:rPr>
        <w:t>2490.67</w:t>
      </w:r>
      <w:r>
        <w:rPr>
          <w:rFonts w:hint="eastAsia" w:ascii="仿宋_GB2312" w:eastAsia="仿宋_GB2312"/>
          <w:color w:val="000000"/>
          <w:sz w:val="32"/>
          <w:szCs w:val="32"/>
        </w:rPr>
        <w:t>万元，其中：（1）工资福利支出</w:t>
      </w:r>
      <w:r>
        <w:rPr>
          <w:rFonts w:hint="eastAsia" w:ascii="仿宋_GB2312" w:eastAsia="仿宋_GB2312"/>
          <w:color w:val="000000"/>
          <w:sz w:val="32"/>
          <w:szCs w:val="32"/>
          <w:lang w:val="en-US" w:eastAsia="zh-CN"/>
        </w:rPr>
        <w:t>2212.58</w:t>
      </w:r>
      <w:r>
        <w:rPr>
          <w:rFonts w:hint="eastAsia" w:ascii="仿宋_GB2312" w:eastAsia="仿宋_GB2312"/>
          <w:color w:val="000000"/>
          <w:sz w:val="32"/>
          <w:szCs w:val="32"/>
        </w:rPr>
        <w:t>万元，包括基本工资</w:t>
      </w:r>
      <w:r>
        <w:rPr>
          <w:rFonts w:ascii="仿宋_GB2312" w:eastAsia="仿宋_GB2312"/>
          <w:color w:val="000000"/>
          <w:sz w:val="32"/>
          <w:szCs w:val="32"/>
        </w:rPr>
        <w:t>、津贴补贴、奖金、伙食补助费、绩效工资、</w:t>
      </w:r>
      <w:r>
        <w:rPr>
          <w:rFonts w:hint="eastAsia" w:ascii="仿宋_GB2312" w:eastAsia="仿宋_GB2312"/>
          <w:color w:val="000000"/>
          <w:sz w:val="32"/>
          <w:szCs w:val="32"/>
        </w:rPr>
        <w:t>其他</w:t>
      </w:r>
      <w:r>
        <w:rPr>
          <w:rFonts w:ascii="仿宋_GB2312" w:eastAsia="仿宋_GB2312"/>
          <w:color w:val="000000"/>
          <w:sz w:val="32"/>
          <w:szCs w:val="32"/>
        </w:rPr>
        <w:t>社会保障缴费、其他工资福利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w:t>
      </w:r>
      <w:r>
        <w:rPr>
          <w:rFonts w:hint="eastAsia" w:ascii="仿宋_GB2312" w:eastAsia="仿宋_GB2312"/>
          <w:color w:val="000000"/>
          <w:sz w:val="32"/>
          <w:szCs w:val="32"/>
          <w:lang w:val="en-US" w:eastAsia="zh-CN"/>
        </w:rPr>
        <w:t>154.68</w:t>
      </w:r>
      <w:r>
        <w:rPr>
          <w:rFonts w:hint="eastAsia" w:ascii="仿宋_GB2312" w:eastAsia="仿宋_GB2312"/>
          <w:color w:val="000000"/>
          <w:sz w:val="32"/>
          <w:szCs w:val="32"/>
        </w:rPr>
        <w:t>万元包括</w:t>
      </w:r>
      <w:r>
        <w:rPr>
          <w:rFonts w:ascii="仿宋_GB2312" w:eastAsia="仿宋_GB2312"/>
          <w:color w:val="000000"/>
          <w:sz w:val="32"/>
          <w:szCs w:val="32"/>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w:t>
      </w:r>
      <w:r>
        <w:rPr>
          <w:rFonts w:hint="eastAsia" w:ascii="仿宋_GB2312" w:eastAsia="仿宋_GB2312"/>
          <w:color w:val="000000"/>
          <w:sz w:val="32"/>
          <w:szCs w:val="32"/>
          <w:lang w:val="en-US" w:eastAsia="zh-CN"/>
        </w:rPr>
        <w:t>121.16</w:t>
      </w:r>
      <w:r>
        <w:rPr>
          <w:rFonts w:hint="eastAsia" w:ascii="仿宋_GB2312" w:eastAsia="仿宋_GB2312"/>
          <w:color w:val="000000"/>
          <w:sz w:val="32"/>
          <w:szCs w:val="32"/>
        </w:rPr>
        <w:t>万元包括</w:t>
      </w:r>
      <w:r>
        <w:rPr>
          <w:rFonts w:ascii="仿宋_GB2312" w:eastAsia="仿宋_GB2312"/>
          <w:color w:val="000000"/>
          <w:sz w:val="32"/>
          <w:szCs w:val="32"/>
        </w:rPr>
        <w:t>离休费、退休费、抚恤金、生活补助、</w:t>
      </w:r>
      <w:r>
        <w:rPr>
          <w:rFonts w:hint="eastAsia" w:ascii="仿宋_GB2312" w:eastAsia="仿宋_GB2312"/>
          <w:color w:val="000000"/>
          <w:sz w:val="32"/>
          <w:szCs w:val="32"/>
        </w:rPr>
        <w:t>救济费</w:t>
      </w:r>
      <w:r>
        <w:rPr>
          <w:rFonts w:ascii="仿宋_GB2312" w:eastAsia="仿宋_GB2312"/>
          <w:color w:val="000000"/>
          <w:sz w:val="32"/>
          <w:szCs w:val="32"/>
        </w:rPr>
        <w:t>、医疗费</w:t>
      </w:r>
      <w:r>
        <w:rPr>
          <w:rFonts w:hint="eastAsia" w:ascii="仿宋_GB2312" w:eastAsia="仿宋_GB2312"/>
          <w:color w:val="000000"/>
          <w:sz w:val="32"/>
          <w:szCs w:val="32"/>
        </w:rPr>
        <w:t>补助</w:t>
      </w:r>
      <w:r>
        <w:rPr>
          <w:rFonts w:ascii="仿宋_GB2312" w:eastAsia="仿宋_GB2312"/>
          <w:color w:val="000000"/>
          <w:sz w:val="32"/>
          <w:szCs w:val="32"/>
        </w:rPr>
        <w:t>、助学金、奖励金</w:t>
      </w:r>
      <w:r>
        <w:rPr>
          <w:rFonts w:hint="eastAsia" w:ascii="仿宋_GB2312" w:eastAsia="仿宋_GB2312"/>
          <w:color w:val="000000"/>
          <w:sz w:val="32"/>
          <w:szCs w:val="32"/>
        </w:rPr>
        <w:t>、</w:t>
      </w:r>
      <w:r>
        <w:rPr>
          <w:rFonts w:ascii="仿宋_GB2312" w:eastAsia="仿宋_GB2312"/>
          <w:color w:val="000000"/>
          <w:sz w:val="32"/>
          <w:szCs w:val="32"/>
        </w:rPr>
        <w:t>其他对个人和家庭的补助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w:t>
      </w:r>
      <w:r>
        <w:rPr>
          <w:rFonts w:hint="eastAsia" w:ascii="仿宋_GB2312" w:eastAsia="仿宋_GB2312"/>
          <w:color w:val="000000"/>
          <w:sz w:val="32"/>
          <w:szCs w:val="32"/>
          <w:lang w:val="en-US" w:eastAsia="zh-CN"/>
        </w:rPr>
        <w:t>2.25</w:t>
      </w:r>
      <w:r>
        <w:rPr>
          <w:rFonts w:hint="eastAsia" w:ascii="仿宋_GB2312" w:eastAsia="仿宋_GB2312"/>
          <w:color w:val="000000"/>
          <w:sz w:val="32"/>
          <w:szCs w:val="32"/>
        </w:rPr>
        <w:t>万元，包括</w:t>
      </w:r>
      <w:r>
        <w:rPr>
          <w:rFonts w:ascii="仿宋_GB2312" w:eastAsia="仿宋_GB2312"/>
          <w:color w:val="000000"/>
          <w:sz w:val="32"/>
          <w:szCs w:val="32"/>
        </w:rPr>
        <w:t>办公设备购置。</w:t>
      </w:r>
    </w:p>
    <w:p>
      <w:pPr>
        <w:spacing w:line="560" w:lineRule="exact"/>
        <w:ind w:firstLine="627" w:firstLineChars="196"/>
        <w:rPr>
          <w:rFonts w:hint="eastAsia" w:ascii="仿宋_GB2312" w:hAnsi="文星标宋" w:eastAsia="仿宋_GB2312" w:cs="Tahoma"/>
          <w:color w:val="000000"/>
          <w:sz w:val="32"/>
          <w:szCs w:val="32"/>
          <w:lang w:eastAsia="zh-CN"/>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1040" w:firstLineChars="200"/>
        <w:jc w:val="center"/>
        <w:rPr>
          <w:rFonts w:hint="eastAsia"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w:t>
      </w:r>
      <w:r>
        <w:rPr>
          <w:rFonts w:hint="eastAsia" w:ascii="方正小标宋简体" w:hAnsi="文星标宋" w:eastAsia="方正小标宋简体" w:cs="Tahoma"/>
          <w:color w:val="000000"/>
          <w:sz w:val="52"/>
          <w:szCs w:val="52"/>
          <w:lang w:eastAsia="zh-CN"/>
        </w:rPr>
        <w:t>三</w:t>
      </w:r>
      <w:r>
        <w:rPr>
          <w:rFonts w:hint="eastAsia" w:ascii="方正小标宋简体" w:hAnsi="文星标宋" w:eastAsia="方正小标宋简体" w:cs="Tahoma"/>
          <w:color w:val="000000"/>
          <w:sz w:val="52"/>
          <w:szCs w:val="52"/>
        </w:rPr>
        <w:t>部分 20</w:t>
      </w:r>
      <w:r>
        <w:rPr>
          <w:rFonts w:hint="eastAsia" w:ascii="方正小标宋简体" w:hAnsi="文星标宋" w:eastAsia="方正小标宋简体" w:cs="Tahoma"/>
          <w:color w:val="000000"/>
          <w:sz w:val="52"/>
          <w:szCs w:val="52"/>
          <w:lang w:val="en-US" w:eastAsia="zh-CN"/>
        </w:rPr>
        <w:t>20</w:t>
      </w:r>
      <w:r>
        <w:rPr>
          <w:rFonts w:hint="eastAsia" w:ascii="方正小标宋简体" w:hAnsi="文星标宋" w:eastAsia="方正小标宋简体" w:cs="Tahoma"/>
          <w:color w:val="000000"/>
          <w:sz w:val="52"/>
          <w:szCs w:val="52"/>
        </w:rPr>
        <w:t>年度</w:t>
      </w:r>
      <w:r>
        <w:rPr>
          <w:rFonts w:hint="eastAsia" w:ascii="方正小标宋简体" w:hAnsi="文星标宋" w:eastAsia="方正小标宋简体" w:cs="Tahoma"/>
          <w:color w:val="000000"/>
          <w:sz w:val="52"/>
          <w:szCs w:val="52"/>
          <w:lang w:eastAsia="zh-CN"/>
        </w:rPr>
        <w:t>其他重要事项的</w:t>
      </w:r>
      <w:r>
        <w:rPr>
          <w:rFonts w:hint="eastAsia" w:ascii="方正小标宋简体" w:hAnsi="文星标宋" w:eastAsia="方正小标宋简体" w:cs="Tahoma"/>
          <w:color w:val="000000"/>
          <w:sz w:val="52"/>
          <w:szCs w:val="52"/>
        </w:rPr>
        <w:t>情况说明</w:t>
      </w:r>
    </w:p>
    <w:p>
      <w:pPr>
        <w:spacing w:line="560" w:lineRule="exact"/>
        <w:ind w:firstLine="1040" w:firstLineChars="200"/>
        <w:jc w:val="center"/>
        <w:rPr>
          <w:rFonts w:hint="eastAsia" w:ascii="方正小标宋简体" w:hAnsi="文星标宋" w:eastAsia="方正小标宋简体" w:cs="Tahoma"/>
          <w:color w:val="000000"/>
          <w:sz w:val="52"/>
          <w:szCs w:val="52"/>
        </w:rPr>
      </w:pP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lang w:eastAsia="zh-CN"/>
        </w:rPr>
        <w:t>一、</w:t>
      </w:r>
      <w:r>
        <w:rPr>
          <w:rFonts w:hint="eastAsia" w:ascii="黑体" w:hAnsi="文星标宋" w:eastAsia="黑体" w:cs="Tahoma"/>
          <w:color w:val="000000"/>
          <w:sz w:val="32"/>
          <w:szCs w:val="32"/>
        </w:rPr>
        <w:t>“三公”经费</w:t>
      </w:r>
      <w:r>
        <w:rPr>
          <w:rFonts w:hint="eastAsia" w:ascii="黑体" w:hAnsi="文星标宋" w:eastAsia="黑体" w:cs="Tahoma"/>
          <w:color w:val="000000"/>
          <w:sz w:val="32"/>
          <w:szCs w:val="32"/>
          <w:lang w:eastAsia="zh-CN"/>
        </w:rPr>
        <w:t>财政拨款</w:t>
      </w:r>
      <w:r>
        <w:rPr>
          <w:rFonts w:hint="eastAsia" w:ascii="黑体" w:hAnsi="文星标宋" w:eastAsia="黑体" w:cs="Tahoma"/>
          <w:color w:val="000000"/>
          <w:sz w:val="32"/>
          <w:szCs w:val="32"/>
        </w:rPr>
        <w:t>决算</w:t>
      </w:r>
      <w:r>
        <w:rPr>
          <w:rFonts w:hint="eastAsia" w:ascii="黑体" w:hAnsi="文星标宋" w:eastAsia="黑体" w:cs="Tahoma"/>
          <w:color w:val="000000"/>
          <w:sz w:val="32"/>
          <w:szCs w:val="32"/>
          <w:lang w:eastAsia="zh-CN"/>
        </w:rPr>
        <w:t>情况</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个行政单位、</w:t>
      </w: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个事业单位。20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年“三公”经费财政拨款决算数</w:t>
      </w:r>
      <w:r>
        <w:rPr>
          <w:rFonts w:hint="eastAsia" w:ascii="仿宋_GB2312" w:hAnsi="文星标宋" w:eastAsia="仿宋_GB2312" w:cs="Tahoma"/>
          <w:color w:val="000000"/>
          <w:sz w:val="32"/>
          <w:szCs w:val="32"/>
          <w:lang w:val="en-US" w:eastAsia="zh-CN"/>
        </w:rPr>
        <w:t>9.31</w:t>
      </w:r>
      <w:r>
        <w:rPr>
          <w:rFonts w:hint="eastAsia" w:ascii="仿宋_GB2312" w:hAnsi="文星标宋" w:eastAsia="仿宋_GB2312" w:cs="Tahoma"/>
          <w:color w:val="000000"/>
          <w:sz w:val="32"/>
          <w:szCs w:val="32"/>
        </w:rPr>
        <w:t>万元，比20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年“三公”经费财政拨款年初预算</w:t>
      </w:r>
      <w:r>
        <w:rPr>
          <w:rFonts w:hint="eastAsia" w:ascii="仿宋_GB2312" w:hAnsi="文星标宋" w:eastAsia="仿宋_GB2312" w:cs="Tahoma"/>
          <w:color w:val="000000"/>
          <w:sz w:val="32"/>
          <w:szCs w:val="32"/>
          <w:lang w:val="en-US" w:eastAsia="zh-CN"/>
        </w:rPr>
        <w:t>13.80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val="en-US" w:eastAsia="zh-CN"/>
        </w:rPr>
        <w:t>,</w:t>
      </w:r>
      <w:r>
        <w:rPr>
          <w:rFonts w:hint="eastAsia" w:ascii="仿宋_GB2312" w:hAnsi="文星标宋" w:eastAsia="仿宋_GB2312" w:cs="Tahoma"/>
          <w:color w:val="000000"/>
          <w:sz w:val="32"/>
          <w:szCs w:val="32"/>
        </w:rPr>
        <w:t>减少</w:t>
      </w:r>
      <w:r>
        <w:rPr>
          <w:rFonts w:hint="eastAsia" w:ascii="仿宋_GB2312" w:hAnsi="文星标宋" w:eastAsia="仿宋_GB2312" w:cs="Tahoma"/>
          <w:color w:val="000000"/>
          <w:sz w:val="32"/>
          <w:szCs w:val="32"/>
          <w:lang w:val="en-US" w:eastAsia="zh-CN"/>
        </w:rPr>
        <w:t>4.49</w:t>
      </w:r>
      <w:r>
        <w:rPr>
          <w:rFonts w:hint="eastAsia" w:ascii="仿宋_GB2312" w:hAnsi="文星标宋" w:eastAsia="仿宋_GB2312" w:cs="Tahoma"/>
          <w:color w:val="000000"/>
          <w:sz w:val="32"/>
          <w:szCs w:val="32"/>
        </w:rPr>
        <w:t>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万元，比20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年年初预算数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w:t>
      </w:r>
      <w:r>
        <w:rPr>
          <w:rFonts w:hint="eastAsia" w:ascii="仿宋_GB2312" w:hAnsi="文星标宋" w:eastAsia="仿宋_GB2312" w:cs="Tahoma"/>
          <w:color w:val="000000"/>
          <w:sz w:val="32"/>
          <w:szCs w:val="32"/>
        </w:rPr>
        <w:t>减少</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万元。主要原因：</w:t>
      </w:r>
      <w:r>
        <w:rPr>
          <w:rFonts w:hint="eastAsia" w:ascii="仿宋_GB2312" w:eastAsia="仿宋_GB2312"/>
          <w:color w:val="000000"/>
          <w:sz w:val="32"/>
          <w:szCs w:val="32"/>
          <w:lang w:eastAsia="zh-CN"/>
        </w:rPr>
        <w:t>本年度</w:t>
      </w:r>
      <w:r>
        <w:rPr>
          <w:rFonts w:hint="eastAsia" w:ascii="仿宋_GB2312" w:hAnsi="文星标宋" w:eastAsia="仿宋_GB2312" w:cs="Tahoma"/>
          <w:color w:val="000000"/>
          <w:sz w:val="32"/>
          <w:szCs w:val="32"/>
          <w:lang w:eastAsia="zh-CN"/>
        </w:rPr>
        <w:t>未安排此项支出。</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万元，比20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w:t>
      </w:r>
      <w:bookmarkStart w:id="0" w:name="_GoBack"/>
      <w:bookmarkEnd w:id="0"/>
      <w:r>
        <w:rPr>
          <w:rFonts w:hint="eastAsia" w:ascii="仿宋_GB2312" w:hAnsi="文星标宋" w:eastAsia="仿宋_GB2312" w:cs="Tahoma"/>
          <w:color w:val="000000"/>
          <w:sz w:val="32"/>
          <w:szCs w:val="32"/>
        </w:rPr>
        <w:t>年初预算数</w:t>
      </w:r>
      <w:r>
        <w:rPr>
          <w:rFonts w:hint="eastAsia" w:ascii="仿宋_GB2312" w:hAnsi="文星标宋" w:eastAsia="仿宋_GB2312" w:cs="Tahoma"/>
          <w:color w:val="000000"/>
          <w:sz w:val="32"/>
          <w:szCs w:val="32"/>
          <w:lang w:val="en-US" w:eastAsia="zh-CN"/>
        </w:rPr>
        <w:t>1.2</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w:t>
      </w:r>
      <w:r>
        <w:rPr>
          <w:rFonts w:hint="eastAsia" w:ascii="仿宋_GB2312" w:hAnsi="文星标宋" w:eastAsia="仿宋_GB2312" w:cs="Tahoma"/>
          <w:color w:val="000000"/>
          <w:sz w:val="32"/>
          <w:szCs w:val="32"/>
        </w:rPr>
        <w:t>减少</w:t>
      </w:r>
      <w:r>
        <w:rPr>
          <w:rFonts w:hint="eastAsia" w:ascii="仿宋_GB2312" w:hAnsi="文星标宋" w:eastAsia="仿宋_GB2312" w:cs="Tahoma"/>
          <w:color w:val="000000"/>
          <w:sz w:val="32"/>
          <w:szCs w:val="32"/>
          <w:lang w:val="en-US" w:eastAsia="zh-CN"/>
        </w:rPr>
        <w:t>1.2</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厉行节约、严格按照公务接待费支出标准，本年未安排接待支出。</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年决算数</w:t>
      </w:r>
      <w:r>
        <w:rPr>
          <w:rFonts w:hint="eastAsia" w:ascii="仿宋_GB2312" w:hAnsi="文星标宋" w:eastAsia="仿宋_GB2312" w:cs="Tahoma"/>
          <w:color w:val="000000"/>
          <w:sz w:val="32"/>
          <w:szCs w:val="32"/>
          <w:lang w:val="en-US" w:eastAsia="zh-CN"/>
        </w:rPr>
        <w:t>9.31</w:t>
      </w:r>
      <w:r>
        <w:rPr>
          <w:rFonts w:hint="eastAsia" w:ascii="仿宋_GB2312" w:hAnsi="文星标宋" w:eastAsia="仿宋_GB2312" w:cs="Tahoma"/>
          <w:color w:val="000000"/>
          <w:sz w:val="32"/>
          <w:szCs w:val="32"/>
        </w:rPr>
        <w:t>万元，比20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年年初预算数</w:t>
      </w:r>
      <w:r>
        <w:rPr>
          <w:rFonts w:hint="eastAsia" w:ascii="仿宋_GB2312" w:hAnsi="文星标宋" w:eastAsia="仿宋_GB2312" w:cs="Tahoma"/>
          <w:color w:val="000000"/>
          <w:sz w:val="32"/>
          <w:szCs w:val="32"/>
          <w:lang w:val="en-US" w:eastAsia="zh-CN"/>
        </w:rPr>
        <w:t>12.60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3.29</w:t>
      </w:r>
      <w:r>
        <w:rPr>
          <w:rFonts w:hint="eastAsia" w:ascii="仿宋_GB2312" w:hAnsi="文星标宋" w:eastAsia="仿宋_GB2312" w:cs="Tahoma"/>
          <w:color w:val="000000"/>
          <w:sz w:val="32"/>
          <w:szCs w:val="32"/>
        </w:rPr>
        <w:t>万元。其中，公务用车购置费20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万元，比20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年年初预算数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，今年没有购置公务用车。</w:t>
      </w:r>
      <w:r>
        <w:rPr>
          <w:rFonts w:hint="eastAsia" w:ascii="仿宋_GB2312" w:hAnsi="文星标宋" w:eastAsia="仿宋_GB2312" w:cs="Tahoma"/>
          <w:color w:val="000000"/>
          <w:sz w:val="32"/>
          <w:szCs w:val="32"/>
        </w:rPr>
        <w:t>公务用车运行维护费20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年决算数</w:t>
      </w:r>
      <w:r>
        <w:rPr>
          <w:rFonts w:hint="eastAsia" w:ascii="仿宋_GB2312" w:hAnsi="文星标宋" w:eastAsia="仿宋_GB2312" w:cs="Tahoma"/>
          <w:color w:val="000000"/>
          <w:sz w:val="32"/>
          <w:szCs w:val="32"/>
          <w:lang w:val="en-US" w:eastAsia="zh-CN"/>
        </w:rPr>
        <w:t>9.31</w:t>
      </w:r>
      <w:r>
        <w:rPr>
          <w:rFonts w:hint="eastAsia" w:ascii="仿宋_GB2312" w:hAnsi="文星标宋" w:eastAsia="仿宋_GB2312" w:cs="Tahoma"/>
          <w:color w:val="000000"/>
          <w:sz w:val="32"/>
          <w:szCs w:val="32"/>
        </w:rPr>
        <w:t>万元，比20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年年初预算数</w:t>
      </w:r>
      <w:r>
        <w:rPr>
          <w:rFonts w:hint="eastAsia" w:ascii="仿宋_GB2312" w:hAnsi="文星标宋" w:eastAsia="仿宋_GB2312" w:cs="Tahoma"/>
          <w:color w:val="000000"/>
          <w:sz w:val="32"/>
          <w:szCs w:val="32"/>
          <w:lang w:val="en-US" w:eastAsia="zh-CN"/>
        </w:rPr>
        <w:t>12.60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3.29</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是厉行节约严格管理公务用车标准，所以本年度公务用车运行维护费用减少</w:t>
      </w:r>
      <w:r>
        <w:rPr>
          <w:rFonts w:hint="eastAsia" w:ascii="仿宋_GB2312" w:hAnsi="文星标宋" w:eastAsia="仿宋_GB2312" w:cs="Tahoma"/>
          <w:color w:val="000000"/>
          <w:sz w:val="32"/>
          <w:szCs w:val="32"/>
        </w:rPr>
        <w:t>。20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年公务用车运行维护费中，公务用车加油</w:t>
      </w:r>
      <w:r>
        <w:rPr>
          <w:rFonts w:hint="eastAsia" w:ascii="仿宋_GB2312" w:hAnsi="文星标宋" w:eastAsia="仿宋_GB2312" w:cs="Tahoma"/>
          <w:color w:val="000000"/>
          <w:sz w:val="32"/>
          <w:szCs w:val="32"/>
          <w:lang w:val="en-US" w:eastAsia="zh-CN"/>
        </w:rPr>
        <w:t>3.00</w:t>
      </w:r>
      <w:r>
        <w:rPr>
          <w:rFonts w:hint="eastAsia" w:ascii="仿宋_GB2312" w:hAnsi="文星标宋" w:eastAsia="仿宋_GB2312" w:cs="Tahoma"/>
          <w:color w:val="000000"/>
          <w:sz w:val="32"/>
          <w:szCs w:val="32"/>
        </w:rPr>
        <w:t>万元，公务用车维修</w:t>
      </w:r>
      <w:r>
        <w:rPr>
          <w:rFonts w:hint="eastAsia" w:ascii="仿宋_GB2312" w:hAnsi="文星标宋" w:eastAsia="仿宋_GB2312" w:cs="Tahoma"/>
          <w:color w:val="000000"/>
          <w:sz w:val="32"/>
          <w:szCs w:val="32"/>
          <w:lang w:val="en-US" w:eastAsia="zh-CN"/>
        </w:rPr>
        <w:t>2.80</w:t>
      </w:r>
      <w:r>
        <w:rPr>
          <w:rFonts w:hint="eastAsia" w:ascii="仿宋_GB2312" w:hAnsi="文星标宋" w:eastAsia="仿宋_GB2312" w:cs="Tahoma"/>
          <w:color w:val="000000"/>
          <w:sz w:val="32"/>
          <w:szCs w:val="32"/>
        </w:rPr>
        <w:t>万元，公务用车保险</w:t>
      </w:r>
      <w:r>
        <w:rPr>
          <w:rFonts w:hint="eastAsia" w:ascii="仿宋_GB2312" w:hAnsi="文星标宋" w:eastAsia="仿宋_GB2312" w:cs="Tahoma"/>
          <w:color w:val="000000"/>
          <w:sz w:val="32"/>
          <w:szCs w:val="32"/>
          <w:lang w:val="en-US" w:eastAsia="zh-CN"/>
        </w:rPr>
        <w:t>3.06</w:t>
      </w:r>
      <w:r>
        <w:rPr>
          <w:rFonts w:hint="eastAsia" w:ascii="仿宋_GB2312" w:hAnsi="文星标宋" w:eastAsia="仿宋_GB2312" w:cs="Tahoma"/>
          <w:color w:val="000000"/>
          <w:sz w:val="32"/>
          <w:szCs w:val="32"/>
        </w:rPr>
        <w:t>万元，公务用车其他支出</w:t>
      </w:r>
      <w:r>
        <w:rPr>
          <w:rFonts w:hint="eastAsia" w:ascii="仿宋_GB2312" w:hAnsi="文星标宋" w:eastAsia="仿宋_GB2312" w:cs="Tahoma"/>
          <w:color w:val="000000"/>
          <w:sz w:val="32"/>
          <w:szCs w:val="32"/>
          <w:lang w:val="en-US" w:eastAsia="zh-CN"/>
        </w:rPr>
        <w:t>0.45</w:t>
      </w:r>
      <w:r>
        <w:rPr>
          <w:rFonts w:hint="eastAsia" w:ascii="仿宋_GB2312" w:hAnsi="文星标宋" w:eastAsia="仿宋_GB2312" w:cs="Tahoma"/>
          <w:color w:val="000000"/>
          <w:sz w:val="32"/>
          <w:szCs w:val="32"/>
        </w:rPr>
        <w:t>万元。20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年公务用车保有量</w:t>
      </w:r>
      <w:r>
        <w:rPr>
          <w:rFonts w:hint="eastAsia" w:ascii="仿宋_GB2312" w:hAnsi="文星标宋" w:eastAsia="仿宋_GB2312" w:cs="Tahoma"/>
          <w:color w:val="000000"/>
          <w:sz w:val="32"/>
          <w:szCs w:val="32"/>
          <w:lang w:val="en-US" w:eastAsia="zh-CN"/>
        </w:rPr>
        <w:t>7</w:t>
      </w:r>
      <w:r>
        <w:rPr>
          <w:rFonts w:hint="eastAsia" w:ascii="仿宋_GB2312" w:hAnsi="文星标宋" w:eastAsia="仿宋_GB2312" w:cs="Tahoma"/>
          <w:color w:val="000000"/>
          <w:sz w:val="32"/>
          <w:szCs w:val="32"/>
        </w:rPr>
        <w:t>辆，车均运行维护费</w:t>
      </w:r>
      <w:r>
        <w:rPr>
          <w:rFonts w:hint="eastAsia" w:ascii="仿宋_GB2312" w:hAnsi="文星标宋" w:eastAsia="仿宋_GB2312" w:cs="Tahoma"/>
          <w:color w:val="000000"/>
          <w:sz w:val="32"/>
          <w:szCs w:val="32"/>
          <w:lang w:val="en-US" w:eastAsia="zh-CN"/>
        </w:rPr>
        <w:t>1.33</w:t>
      </w:r>
      <w:r>
        <w:rPr>
          <w:rFonts w:hint="eastAsia" w:ascii="仿宋_GB2312" w:hAnsi="文星标宋" w:eastAsia="仿宋_GB2312" w:cs="Tahoma"/>
          <w:color w:val="000000"/>
          <w:sz w:val="32"/>
          <w:szCs w:val="32"/>
        </w:rPr>
        <w:t>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lang w:eastAsia="zh-CN"/>
        </w:rPr>
        <w:t>二</w:t>
      </w:r>
      <w:r>
        <w:rPr>
          <w:rFonts w:hint="eastAsia" w:ascii="黑体" w:hAnsi="文星标宋" w:eastAsia="黑体" w:cs="Tahoma"/>
          <w:color w:val="000000"/>
          <w:sz w:val="32"/>
          <w:szCs w:val="32"/>
        </w:rPr>
        <w:t>、</w:t>
      </w:r>
      <w:r>
        <w:rPr>
          <w:rFonts w:hint="eastAsia" w:ascii="黑体" w:hAnsi="文星标宋" w:eastAsia="黑体" w:cs="Tahoma"/>
          <w:color w:val="000000"/>
          <w:sz w:val="32"/>
          <w:szCs w:val="32"/>
          <w:lang w:eastAsia="zh-CN"/>
        </w:rPr>
        <w:t>机关运行经费支出情况</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val="en-US" w:eastAsia="zh-CN"/>
        </w:rPr>
        <w:t>2020</w:t>
      </w:r>
      <w:r>
        <w:rPr>
          <w:rFonts w:hint="eastAsia" w:ascii="仿宋_GB2312" w:hAnsi="Tahoma" w:eastAsia="仿宋_GB2312" w:cs="Tahoma"/>
          <w:color w:val="000000"/>
          <w:sz w:val="32"/>
          <w:szCs w:val="32"/>
        </w:rPr>
        <w:t>年，</w:t>
      </w:r>
      <w:r>
        <w:rPr>
          <w:rFonts w:hint="eastAsia" w:ascii="仿宋_GB2312" w:hAnsi="Tahoma" w:eastAsia="仿宋_GB2312" w:cs="Tahoma"/>
          <w:color w:val="000000"/>
          <w:sz w:val="32"/>
          <w:szCs w:val="32"/>
          <w:lang w:eastAsia="zh-CN"/>
        </w:rPr>
        <w:t>大兴区人民代表大会常务委员会本级</w:t>
      </w:r>
      <w:r>
        <w:rPr>
          <w:rFonts w:hint="eastAsia" w:ascii="仿宋_GB2312" w:hAnsi="Tahoma" w:eastAsia="仿宋_GB2312" w:cs="Tahoma"/>
          <w:color w:val="000000"/>
          <w:sz w:val="32"/>
          <w:szCs w:val="32"/>
        </w:rPr>
        <w:t>的机关运行经费财政拨款决算</w:t>
      </w:r>
      <w:r>
        <w:rPr>
          <w:rFonts w:hint="eastAsia" w:ascii="仿宋_GB2312" w:hAnsi="文星标宋" w:eastAsia="仿宋_GB2312" w:cs="Tahoma"/>
          <w:color w:val="000000"/>
          <w:sz w:val="32"/>
          <w:szCs w:val="32"/>
          <w:lang w:val="en-US" w:eastAsia="zh-CN"/>
        </w:rPr>
        <w:t>85.82</w:t>
      </w:r>
      <w:r>
        <w:rPr>
          <w:rFonts w:hint="eastAsia" w:ascii="仿宋_GB2312" w:hAnsi="Tahoma" w:eastAsia="仿宋_GB2312" w:cs="Tahoma"/>
          <w:color w:val="000000"/>
          <w:sz w:val="32"/>
          <w:szCs w:val="32"/>
        </w:rPr>
        <w:t>万元，较上年</w:t>
      </w:r>
      <w:r>
        <w:rPr>
          <w:rFonts w:hint="eastAsia" w:ascii="仿宋_GB2312" w:hAnsi="Tahoma" w:eastAsia="仿宋_GB2312" w:cs="Tahoma"/>
          <w:color w:val="000000"/>
          <w:sz w:val="32"/>
          <w:szCs w:val="32"/>
          <w:lang w:eastAsia="zh-CN"/>
        </w:rPr>
        <w:t>减少</w:t>
      </w:r>
      <w:r>
        <w:rPr>
          <w:rFonts w:hint="eastAsia" w:ascii="仿宋_GB2312" w:hAnsi="Tahoma" w:eastAsia="仿宋_GB2312" w:cs="Tahoma"/>
          <w:color w:val="000000"/>
          <w:sz w:val="32"/>
          <w:szCs w:val="32"/>
          <w:lang w:val="en-US" w:eastAsia="zh-CN"/>
        </w:rPr>
        <w:t>3.89万元，减少</w:t>
      </w:r>
      <w:r>
        <w:rPr>
          <w:rFonts w:hint="eastAsia" w:ascii="仿宋_GB2312" w:hAnsi="Tahoma" w:eastAsia="仿宋_GB2312" w:cs="Tahoma"/>
          <w:color w:val="000000"/>
          <w:sz w:val="32"/>
          <w:szCs w:val="32"/>
        </w:rPr>
        <w:t>原因是：</w:t>
      </w:r>
      <w:r>
        <w:rPr>
          <w:rFonts w:hint="eastAsia" w:ascii="仿宋_GB2312" w:hAnsi="Tahoma" w:eastAsia="仿宋_GB2312" w:cs="Tahoma"/>
          <w:color w:val="000000"/>
          <w:sz w:val="32"/>
          <w:szCs w:val="32"/>
          <w:lang w:eastAsia="zh-CN"/>
        </w:rPr>
        <w:t>在职人员退休所以公用经费减少</w:t>
      </w:r>
      <w:r>
        <w:rPr>
          <w:rFonts w:hint="eastAsia" w:ascii="仿宋_GB2312" w:hAnsi="Tahoma" w:eastAsia="仿宋_GB2312" w:cs="Tahoma"/>
          <w:color w:val="000000"/>
          <w:sz w:val="32"/>
          <w:szCs w:val="32"/>
        </w:rPr>
        <w:t>。</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政府采购</w:t>
      </w:r>
      <w:r>
        <w:rPr>
          <w:rFonts w:hint="eastAsia" w:ascii="黑体" w:hAnsi="黑体" w:eastAsia="黑体" w:cs="黑体"/>
          <w:color w:val="000000"/>
          <w:sz w:val="32"/>
          <w:szCs w:val="32"/>
          <w:lang w:eastAsia="zh-CN"/>
        </w:rPr>
        <w:t>支出</w:t>
      </w:r>
      <w:r>
        <w:rPr>
          <w:rFonts w:hint="eastAsia" w:ascii="黑体" w:hAnsi="黑体" w:eastAsia="黑体" w:cs="黑体"/>
          <w:color w:val="000000"/>
          <w:sz w:val="32"/>
          <w:szCs w:val="32"/>
        </w:rPr>
        <w:t>情况</w:t>
      </w:r>
    </w:p>
    <w:p>
      <w:pPr>
        <w:spacing w:line="560" w:lineRule="exact"/>
        <w:ind w:firstLine="640" w:firstLineChars="200"/>
        <w:rPr>
          <w:rFonts w:ascii="仿宋_GB2312" w:hAnsi="Tahoma" w:eastAsia="仿宋_GB2312" w:cs="Tahoma"/>
          <w:color w:val="000000"/>
          <w:sz w:val="32"/>
          <w:szCs w:val="32"/>
        </w:rPr>
      </w:pPr>
      <w:r>
        <w:rPr>
          <w:rFonts w:hint="eastAsia" w:ascii="仿宋_GB2312" w:hAnsi="Tahoma" w:eastAsia="仿宋_GB2312" w:cs="Tahoma"/>
          <w:color w:val="000000"/>
          <w:sz w:val="32"/>
          <w:szCs w:val="32"/>
        </w:rPr>
        <w:t>20</w:t>
      </w:r>
      <w:r>
        <w:rPr>
          <w:rFonts w:hint="eastAsia" w:ascii="仿宋_GB2312" w:hAnsi="Tahoma" w:eastAsia="仿宋_GB2312" w:cs="Tahoma"/>
          <w:color w:val="000000"/>
          <w:sz w:val="32"/>
          <w:szCs w:val="32"/>
          <w:lang w:val="en-US" w:eastAsia="zh-CN"/>
        </w:rPr>
        <w:t>20</w:t>
      </w:r>
      <w:r>
        <w:rPr>
          <w:rFonts w:hint="eastAsia" w:ascii="仿宋_GB2312" w:hAnsi="Tahoma" w:eastAsia="仿宋_GB2312" w:cs="Tahoma"/>
          <w:color w:val="000000"/>
          <w:sz w:val="32"/>
          <w:szCs w:val="32"/>
        </w:rPr>
        <w:t>年政府采购支出总额</w:t>
      </w:r>
      <w:r>
        <w:rPr>
          <w:rFonts w:hint="eastAsia" w:ascii="仿宋_GB2312" w:hAnsi="Tahoma" w:eastAsia="仿宋_GB2312" w:cs="Tahoma"/>
          <w:color w:val="000000"/>
          <w:sz w:val="32"/>
          <w:szCs w:val="32"/>
          <w:lang w:val="en-US" w:eastAsia="zh-CN"/>
        </w:rPr>
        <w:t>62.58</w:t>
      </w:r>
      <w:r>
        <w:rPr>
          <w:rFonts w:hint="eastAsia" w:ascii="仿宋_GB2312" w:hAnsi="Tahoma" w:eastAsia="仿宋_GB2312" w:cs="Tahoma"/>
          <w:color w:val="000000"/>
          <w:sz w:val="32"/>
          <w:szCs w:val="32"/>
        </w:rPr>
        <w:t>万元，</w:t>
      </w:r>
      <w:r>
        <w:rPr>
          <w:rFonts w:hint="eastAsia" w:ascii="仿宋_GB2312" w:hAnsi="Tahoma" w:eastAsia="仿宋_GB2312" w:cs="Tahoma"/>
          <w:color w:val="000000"/>
          <w:sz w:val="32"/>
          <w:szCs w:val="32"/>
          <w:lang w:eastAsia="zh-CN"/>
        </w:rPr>
        <w:t>其中：政府采购货物支出</w:t>
      </w:r>
      <w:r>
        <w:rPr>
          <w:rFonts w:hint="eastAsia" w:ascii="仿宋_GB2312" w:hAnsi="Tahoma" w:eastAsia="仿宋_GB2312" w:cs="Tahoma"/>
          <w:color w:val="000000"/>
          <w:sz w:val="32"/>
          <w:szCs w:val="32"/>
          <w:lang w:val="en-US" w:eastAsia="zh-CN"/>
        </w:rPr>
        <w:t>62.58万元</w:t>
      </w:r>
      <w:r>
        <w:rPr>
          <w:rFonts w:hint="eastAsia" w:ascii="仿宋_GB2312" w:hAnsi="Tahoma" w:eastAsia="仿宋_GB2312" w:cs="Tahoma"/>
          <w:color w:val="000000"/>
          <w:sz w:val="32"/>
          <w:szCs w:val="32"/>
          <w:lang w:eastAsia="zh-CN"/>
        </w:rPr>
        <w:t>。政府采购工程支出</w:t>
      </w:r>
      <w:r>
        <w:rPr>
          <w:rFonts w:hint="eastAsia" w:ascii="仿宋_GB2312" w:hAnsi="Tahoma" w:eastAsia="仿宋_GB2312" w:cs="Tahoma"/>
          <w:color w:val="000000"/>
          <w:sz w:val="32"/>
          <w:szCs w:val="32"/>
          <w:lang w:val="en-US" w:eastAsia="zh-CN"/>
        </w:rPr>
        <w:t>0万元，政府采购服务支出0万元。</w:t>
      </w:r>
      <w:r>
        <w:rPr>
          <w:rFonts w:hint="eastAsia" w:ascii="仿宋_GB2312" w:hAnsi="Tahoma" w:eastAsia="仿宋_GB2312" w:cs="Tahoma"/>
          <w:color w:val="000000"/>
          <w:sz w:val="32"/>
          <w:szCs w:val="32"/>
          <w:lang w:eastAsia="zh-CN"/>
        </w:rPr>
        <w:t>授予中小企业合同金额</w:t>
      </w:r>
      <w:r>
        <w:rPr>
          <w:rFonts w:hint="eastAsia" w:ascii="仿宋_GB2312" w:hAnsi="Tahoma" w:eastAsia="仿宋_GB2312" w:cs="Tahoma"/>
          <w:color w:val="000000"/>
          <w:sz w:val="32"/>
          <w:szCs w:val="32"/>
          <w:lang w:val="en-US" w:eastAsia="zh-CN"/>
        </w:rPr>
        <w:t>0万元，占政府采购支出总额的0%，其中：授予小微企业合同金额0万元，占政府采购支出的0%。</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国有资产占有情况</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2</w:t>
      </w:r>
      <w:r>
        <w:rPr>
          <w:rFonts w:ascii="仿宋_GB2312" w:eastAsia="仿宋_GB2312"/>
          <w:color w:val="000000"/>
          <w:sz w:val="32"/>
          <w:szCs w:val="32"/>
        </w:rPr>
        <w:t>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年本部门车辆</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台，</w:t>
      </w:r>
      <w:r>
        <w:rPr>
          <w:rFonts w:hint="eastAsia" w:ascii="仿宋_GB2312" w:eastAsia="仿宋_GB2312"/>
          <w:color w:val="000000"/>
          <w:sz w:val="32"/>
          <w:szCs w:val="32"/>
          <w:lang w:val="en-US" w:eastAsia="zh-CN"/>
        </w:rPr>
        <w:t>134.99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没有</w:t>
      </w:r>
      <w:r>
        <w:rPr>
          <w:rFonts w:hint="eastAsia" w:ascii="仿宋_GB2312" w:eastAsia="仿宋_GB2312"/>
          <w:color w:val="000000"/>
          <w:sz w:val="32"/>
          <w:szCs w:val="32"/>
        </w:rPr>
        <w:t>单位价值50万元以上的通用设备，</w:t>
      </w:r>
      <w:r>
        <w:rPr>
          <w:rFonts w:hint="eastAsia" w:ascii="仿宋_GB2312" w:eastAsia="仿宋_GB2312"/>
          <w:color w:val="000000"/>
          <w:sz w:val="32"/>
          <w:szCs w:val="32"/>
          <w:lang w:eastAsia="zh-CN"/>
        </w:rPr>
        <w:t>没有</w:t>
      </w:r>
      <w:r>
        <w:rPr>
          <w:rFonts w:hint="eastAsia" w:ascii="仿宋_GB2312" w:eastAsia="仿宋_GB2312"/>
          <w:color w:val="000000"/>
          <w:sz w:val="32"/>
          <w:szCs w:val="32"/>
        </w:rPr>
        <w:t>单位价</w:t>
      </w:r>
      <w:r>
        <w:rPr>
          <w:rFonts w:hint="eastAsia" w:ascii="仿宋_GB2312" w:eastAsia="仿宋_GB2312"/>
          <w:color w:val="000000"/>
          <w:sz w:val="32"/>
          <w:szCs w:val="32"/>
          <w:lang w:val="en-US" w:eastAsia="zh-CN"/>
        </w:rPr>
        <w:t>100万元以上的专用设备。</w:t>
      </w: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重点行政事业性收费情况说明</w:t>
      </w:r>
    </w:p>
    <w:p>
      <w:pPr>
        <w:spacing w:line="620" w:lineRule="exact"/>
        <w:ind w:firstLine="640" w:firstLineChars="200"/>
        <w:rPr>
          <w:rFonts w:hint="default" w:ascii="Angsana New" w:hAnsi="Angsana New" w:eastAsia="仿宋" w:cs="Angsana New"/>
          <w:color w:val="000000"/>
          <w:sz w:val="32"/>
          <w:szCs w:val="32"/>
          <w:shd w:val="clear" w:color="FFFFFF" w:fill="D9D9D9"/>
          <w:lang w:eastAsia="zh-CN"/>
        </w:rPr>
      </w:pPr>
      <w:r>
        <w:rPr>
          <w:rFonts w:hint="eastAsia" w:ascii="仿宋_GB2312" w:hAnsi="Tahoma" w:eastAsia="仿宋_GB2312" w:cs="Tahoma"/>
          <w:color w:val="000000"/>
          <w:sz w:val="32"/>
          <w:szCs w:val="32"/>
          <w:lang w:eastAsia="zh-CN"/>
        </w:rPr>
        <w:t>本年度无重点行政事业性收费</w:t>
      </w:r>
    </w:p>
    <w:p>
      <w:pPr>
        <w:spacing w:line="560" w:lineRule="exact"/>
        <w:ind w:firstLine="614" w:firstLineChars="192"/>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政府购买服务支出说明</w:t>
      </w:r>
    </w:p>
    <w:p>
      <w:pPr>
        <w:spacing w:line="620" w:lineRule="exact"/>
        <w:ind w:firstLine="640" w:firstLineChars="200"/>
        <w:rPr>
          <w:rFonts w:hint="eastAsia" w:ascii="仿宋_GB2312" w:hAnsi="Tahoma" w:eastAsia="仿宋_GB2312" w:cs="Tahoma"/>
          <w:color w:val="000000"/>
          <w:sz w:val="32"/>
          <w:szCs w:val="32"/>
          <w:lang w:eastAsia="zh-CN"/>
        </w:rPr>
      </w:pPr>
      <w:r>
        <w:rPr>
          <w:rFonts w:hint="eastAsia" w:ascii="仿宋_GB2312" w:hAnsi="Tahoma" w:eastAsia="仿宋_GB2312" w:cs="Tahoma"/>
          <w:color w:val="000000"/>
          <w:sz w:val="32"/>
          <w:szCs w:val="32"/>
          <w:lang w:eastAsia="zh-CN"/>
        </w:rPr>
        <w:t>本年度无此项支出</w:t>
      </w:r>
    </w:p>
    <w:p>
      <w:pPr>
        <w:spacing w:line="620" w:lineRule="exact"/>
        <w:ind w:firstLine="640" w:firstLineChars="200"/>
        <w:rPr>
          <w:rFonts w:ascii="楷体_GB2312" w:eastAsia="楷体_GB2312" w:cs="楷体_GB2312"/>
          <w:b/>
          <w:bCs/>
          <w:sz w:val="28"/>
          <w:szCs w:val="28"/>
        </w:rPr>
      </w:pPr>
      <w:r>
        <w:rPr>
          <w:rFonts w:hint="eastAsia" w:ascii="黑体" w:hAnsi="黑体" w:eastAsia="黑体" w:cs="黑体"/>
          <w:color w:val="000000"/>
          <w:sz w:val="32"/>
          <w:szCs w:val="32"/>
          <w:lang w:eastAsia="zh-CN"/>
        </w:rPr>
        <w:t>七、专业名词解释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2" w:firstLineChars="150"/>
        <w:rPr>
          <w:rFonts w:hint="eastAsia" w:ascii="仿宋_GB2312" w:eastAsia="仿宋_GB2312"/>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spacing w:line="560" w:lineRule="exact"/>
        <w:ind w:firstLine="422" w:firstLineChars="150"/>
        <w:rPr>
          <w:rFonts w:hint="eastAsia" w:ascii="仿宋_GB2312" w:eastAsia="仿宋_GB2312"/>
          <w:sz w:val="28"/>
          <w:szCs w:val="28"/>
          <w:lang w:val="en-US" w:eastAsia="zh-CN"/>
        </w:rPr>
      </w:pPr>
      <w:r>
        <w:rPr>
          <w:rFonts w:hint="eastAsia" w:ascii="仿宋" w:hAnsi="仿宋" w:eastAsia="仿宋" w:cs="仿宋"/>
          <w:b/>
          <w:bCs/>
          <w:sz w:val="28"/>
          <w:szCs w:val="28"/>
          <w:lang w:val="en-US" w:eastAsia="zh-CN"/>
        </w:rPr>
        <w:t>5、基本支出：</w:t>
      </w:r>
      <w:r>
        <w:rPr>
          <w:rFonts w:hint="eastAsia" w:ascii="仿宋_GB2312" w:eastAsia="仿宋_GB2312"/>
          <w:sz w:val="28"/>
          <w:szCs w:val="28"/>
          <w:lang w:val="en-US" w:eastAsia="zh-CN"/>
        </w:rPr>
        <w:t>是指为保障机构正常运转、完成日常工作任务而发生的人员支出和公用支出。</w:t>
      </w: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rPr>
          <w:rFonts w:hint="eastAsia" w:ascii="仿宋_GB2312" w:eastAsia="仿宋_GB2312"/>
          <w:sz w:val="28"/>
          <w:szCs w:val="28"/>
        </w:rPr>
      </w:pPr>
    </w:p>
    <w:p>
      <w:pPr>
        <w:spacing w:line="560" w:lineRule="exact"/>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第</w:t>
      </w:r>
      <w:r>
        <w:rPr>
          <w:rFonts w:hint="eastAsia" w:ascii="黑体" w:hAnsi="黑体" w:eastAsia="黑体" w:cs="黑体"/>
          <w:color w:val="000000"/>
          <w:sz w:val="44"/>
          <w:szCs w:val="44"/>
          <w:lang w:eastAsia="zh-CN"/>
        </w:rPr>
        <w:t>四</w:t>
      </w:r>
      <w:r>
        <w:rPr>
          <w:rFonts w:hint="eastAsia" w:ascii="黑体" w:hAnsi="黑体" w:eastAsia="黑体" w:cs="黑体"/>
          <w:color w:val="000000"/>
          <w:sz w:val="44"/>
          <w:szCs w:val="44"/>
        </w:rPr>
        <w:t>部分 20</w:t>
      </w:r>
      <w:r>
        <w:rPr>
          <w:rFonts w:hint="eastAsia" w:ascii="黑体" w:hAnsi="黑体" w:eastAsia="黑体" w:cs="黑体"/>
          <w:color w:val="000000"/>
          <w:sz w:val="44"/>
          <w:szCs w:val="44"/>
          <w:lang w:val="en-US" w:eastAsia="zh-CN"/>
        </w:rPr>
        <w:t>20</w:t>
      </w:r>
      <w:r>
        <w:rPr>
          <w:rFonts w:hint="eastAsia" w:ascii="黑体" w:hAnsi="黑体" w:eastAsia="黑体" w:cs="黑体"/>
          <w:color w:val="000000"/>
          <w:sz w:val="44"/>
          <w:szCs w:val="44"/>
        </w:rPr>
        <w:t>年度</w:t>
      </w:r>
      <w:r>
        <w:rPr>
          <w:rFonts w:hint="eastAsia" w:ascii="黑体" w:hAnsi="黑体" w:eastAsia="黑体" w:cs="黑体"/>
          <w:color w:val="000000"/>
          <w:sz w:val="44"/>
          <w:szCs w:val="44"/>
          <w:lang w:eastAsia="zh-CN"/>
        </w:rPr>
        <w:t>人民代表大会常务委员会绩效评价</w:t>
      </w:r>
      <w:r>
        <w:rPr>
          <w:rFonts w:hint="eastAsia" w:ascii="黑体" w:hAnsi="黑体" w:eastAsia="黑体" w:cs="黑体"/>
          <w:color w:val="000000"/>
          <w:sz w:val="44"/>
          <w:szCs w:val="44"/>
        </w:rPr>
        <w:t>情况说明</w:t>
      </w:r>
    </w:p>
    <w:p>
      <w:pPr>
        <w:spacing w:line="560" w:lineRule="exact"/>
        <w:ind w:firstLine="420" w:firstLineChars="150"/>
        <w:rPr>
          <w:rFonts w:hint="eastAsia" w:ascii="仿宋_GB2312" w:eastAsia="仿宋_GB2312"/>
          <w:sz w:val="28"/>
          <w:szCs w:val="28"/>
        </w:rPr>
      </w:pPr>
    </w:p>
    <w:p>
      <w:pPr>
        <w:spacing w:line="620" w:lineRule="exact"/>
        <w:rPr>
          <w:rFonts w:ascii="楷体_GB2312" w:hAnsi="Tahoma" w:eastAsia="楷体_GB2312" w:cs="Tahoma"/>
          <w:color w:val="000000"/>
          <w:sz w:val="32"/>
          <w:szCs w:val="32"/>
        </w:rPr>
      </w:pPr>
      <w:r>
        <w:rPr>
          <w:rFonts w:hint="eastAsia" w:ascii="楷体_GB2312" w:hAnsi="Tahoma" w:eastAsia="楷体_GB2312" w:cs="Tahoma"/>
          <w:color w:val="000000"/>
          <w:sz w:val="32"/>
          <w:szCs w:val="32"/>
          <w:lang w:val="en-US" w:eastAsia="zh-CN"/>
        </w:rPr>
        <w:t xml:space="preserve">    </w:t>
      </w: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绩效评价</w:t>
      </w:r>
      <w:r>
        <w:rPr>
          <w:rFonts w:hint="eastAsia" w:ascii="黑体" w:hAnsi="黑体" w:eastAsia="黑体" w:cs="黑体"/>
          <w:color w:val="000000"/>
          <w:sz w:val="32"/>
          <w:szCs w:val="32"/>
          <w:lang w:eastAsia="zh-CN"/>
        </w:rPr>
        <w:t>工作开展</w:t>
      </w:r>
      <w:r>
        <w:rPr>
          <w:rFonts w:hint="eastAsia" w:ascii="黑体" w:hAnsi="黑体" w:eastAsia="黑体" w:cs="黑体"/>
          <w:color w:val="000000"/>
          <w:sz w:val="32"/>
          <w:szCs w:val="32"/>
        </w:rPr>
        <w:t>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hAnsi="文星标宋" w:eastAsia="仿宋_GB2312" w:cs="Tahoma"/>
          <w:color w:val="000000"/>
          <w:sz w:val="32"/>
          <w:szCs w:val="32"/>
          <w:lang w:eastAsia="zh-CN"/>
        </w:rPr>
        <w:t>大兴区人民代表大会常务委员会</w:t>
      </w:r>
      <w:r>
        <w:rPr>
          <w:rFonts w:hint="eastAsia" w:ascii="仿宋_GB2312" w:eastAsia="仿宋_GB2312"/>
          <w:color w:val="000000"/>
          <w:sz w:val="32"/>
          <w:szCs w:val="32"/>
        </w:rPr>
        <w:t>填报绩效目标的预算项目</w:t>
      </w:r>
      <w:r>
        <w:rPr>
          <w:rFonts w:hint="eastAsia" w:ascii="仿宋_GB2312" w:hAnsi="文星标宋" w:eastAsia="仿宋_GB2312" w:cs="Tahoma"/>
          <w:color w:val="000000"/>
          <w:sz w:val="32"/>
          <w:szCs w:val="32"/>
          <w:lang w:val="en-US" w:eastAsia="zh-CN"/>
        </w:rPr>
        <w:t>2</w:t>
      </w:r>
      <w:r>
        <w:rPr>
          <w:rFonts w:hint="eastAsia" w:ascii="仿宋_GB2312" w:eastAsia="仿宋_GB2312"/>
          <w:color w:val="000000"/>
          <w:sz w:val="32"/>
          <w:szCs w:val="32"/>
        </w:rPr>
        <w:t>个，占全部预算项目</w:t>
      </w:r>
      <w:r>
        <w:rPr>
          <w:rFonts w:hint="eastAsia" w:ascii="仿宋_GB2312" w:hAnsi="文星标宋" w:eastAsia="仿宋_GB2312" w:cs="Tahoma"/>
          <w:color w:val="000000"/>
          <w:sz w:val="32"/>
          <w:szCs w:val="32"/>
          <w:lang w:val="en-US" w:eastAsia="zh-CN"/>
        </w:rPr>
        <w:t>5</w:t>
      </w:r>
      <w:r>
        <w:rPr>
          <w:rFonts w:hint="eastAsia" w:ascii="仿宋_GB2312" w:eastAsia="仿宋_GB2312"/>
          <w:color w:val="000000"/>
          <w:sz w:val="32"/>
          <w:szCs w:val="32"/>
        </w:rPr>
        <w:t>个的</w:t>
      </w:r>
      <w:r>
        <w:rPr>
          <w:rFonts w:hint="eastAsia" w:ascii="仿宋_GB2312" w:hAnsi="文星标宋" w:eastAsia="仿宋_GB2312" w:cs="Tahoma"/>
          <w:color w:val="000000"/>
          <w:sz w:val="32"/>
          <w:szCs w:val="32"/>
          <w:lang w:val="en-US" w:eastAsia="zh-CN"/>
        </w:rPr>
        <w:t>40</w:t>
      </w:r>
      <w:r>
        <w:rPr>
          <w:rFonts w:hint="eastAsia" w:ascii="仿宋_GB2312" w:eastAsia="仿宋_GB2312"/>
          <w:color w:val="000000"/>
          <w:sz w:val="32"/>
          <w:szCs w:val="32"/>
        </w:rPr>
        <w:t>%。填报绩效目标的项目支出预算</w:t>
      </w:r>
      <w:r>
        <w:rPr>
          <w:rFonts w:hint="eastAsia" w:ascii="仿宋_GB2312" w:eastAsia="仿宋_GB2312"/>
          <w:color w:val="000000"/>
          <w:sz w:val="32"/>
          <w:szCs w:val="32"/>
          <w:lang w:val="en-US" w:eastAsia="zh-CN"/>
        </w:rPr>
        <w:t>4</w:t>
      </w:r>
      <w:r>
        <w:rPr>
          <w:rFonts w:hint="eastAsia" w:ascii="仿宋_GB2312" w:hAnsi="文星标宋" w:eastAsia="仿宋_GB2312" w:cs="Tahoma"/>
          <w:color w:val="000000"/>
          <w:sz w:val="32"/>
          <w:szCs w:val="32"/>
          <w:lang w:val="en-US" w:eastAsia="zh-CN"/>
        </w:rPr>
        <w:t>78.75</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lang w:val="en-US" w:eastAsia="zh-CN"/>
        </w:rPr>
        <w:t>45.13</w:t>
      </w:r>
      <w:r>
        <w:rPr>
          <w:rFonts w:hint="eastAsia" w:ascii="仿宋_GB2312" w:eastAsia="仿宋_GB2312"/>
          <w:color w:val="000000"/>
          <w:sz w:val="32"/>
          <w:szCs w:val="32"/>
        </w:rPr>
        <w:t>%。</w:t>
      </w:r>
    </w:p>
    <w:p>
      <w:pPr>
        <w:spacing w:line="560" w:lineRule="exact"/>
        <w:ind w:firstLine="800" w:firstLineChars="250"/>
        <w:rPr>
          <w:rFonts w:hint="eastAsia" w:ascii="仿宋_GB2312" w:hAnsi="文星标宋" w:eastAsia="仿宋_GB2312" w:cs="Tahoma"/>
          <w:color w:val="000000"/>
          <w:sz w:val="32"/>
          <w:szCs w:val="32"/>
        </w:rPr>
      </w:pPr>
      <w:r>
        <w:rPr>
          <w:rFonts w:ascii="仿宋_GB2312" w:hAnsi="文星标宋" w:eastAsia="仿宋_GB2312" w:cs="Tahoma"/>
          <w:color w:val="000000"/>
          <w:sz w:val="32"/>
          <w:szCs w:val="32"/>
        </w:rPr>
        <w:t>20</w:t>
      </w:r>
      <w:r>
        <w:rPr>
          <w:rFonts w:hint="eastAsia" w:ascii="仿宋_GB2312" w:hAnsi="文星标宋" w:eastAsia="仿宋_GB2312" w:cs="Tahoma"/>
          <w:color w:val="000000"/>
          <w:sz w:val="32"/>
          <w:szCs w:val="32"/>
          <w:lang w:val="en-US" w:eastAsia="zh-CN"/>
        </w:rPr>
        <w:t>20</w:t>
      </w:r>
      <w:r>
        <w:rPr>
          <w:rFonts w:hint="eastAsia" w:ascii="仿宋_GB2312" w:hAnsi="文星标宋" w:eastAsia="仿宋_GB2312" w:cs="Tahoma"/>
          <w:color w:val="000000"/>
          <w:sz w:val="32"/>
          <w:szCs w:val="32"/>
        </w:rPr>
        <w:t>年，</w:t>
      </w:r>
      <w:r>
        <w:rPr>
          <w:rFonts w:hint="eastAsia" w:ascii="仿宋_GB2312" w:hAnsi="文星标宋" w:eastAsia="仿宋_GB2312" w:cs="Tahoma"/>
          <w:color w:val="000000"/>
          <w:sz w:val="32"/>
          <w:szCs w:val="32"/>
          <w:lang w:eastAsia="zh-CN"/>
        </w:rPr>
        <w:t>大兴区人民代表大会常务委员会</w:t>
      </w:r>
      <w:r>
        <w:rPr>
          <w:rFonts w:hint="eastAsia" w:ascii="仿宋_GB2312" w:hAnsi="文星标宋" w:eastAsia="仿宋_GB2312" w:cs="Tahoma"/>
          <w:color w:val="000000"/>
          <w:sz w:val="32"/>
          <w:szCs w:val="32"/>
        </w:rPr>
        <w:t>对</w:t>
      </w:r>
      <w:r>
        <w:rPr>
          <w:rFonts w:ascii="仿宋_GB2312" w:hAnsi="文星标宋" w:eastAsia="仿宋_GB2312" w:cs="Tahoma"/>
          <w:color w:val="000000"/>
          <w:sz w:val="32"/>
          <w:szCs w:val="32"/>
        </w:rPr>
        <w:t>20</w:t>
      </w:r>
      <w:r>
        <w:rPr>
          <w:rFonts w:hint="eastAsia" w:ascii="仿宋_GB2312" w:hAnsi="文星标宋" w:eastAsia="仿宋_GB2312" w:cs="Tahoma"/>
          <w:color w:val="000000"/>
          <w:sz w:val="32"/>
          <w:szCs w:val="32"/>
          <w:lang w:val="en-US" w:eastAsia="zh-CN"/>
        </w:rPr>
        <w:t>20</w:t>
      </w:r>
      <w:r>
        <w:rPr>
          <w:rFonts w:ascii="仿宋_GB2312" w:hAnsi="文星标宋" w:eastAsia="仿宋_GB2312" w:cs="Tahoma"/>
          <w:color w:val="000000"/>
          <w:sz w:val="32"/>
          <w:szCs w:val="32"/>
        </w:rPr>
        <w:t>年</w:t>
      </w:r>
      <w:r>
        <w:rPr>
          <w:rFonts w:hint="eastAsia" w:ascii="仿宋_GB2312" w:hAnsi="文星标宋" w:eastAsia="仿宋_GB2312" w:cs="Tahoma"/>
          <w:color w:val="000000"/>
          <w:sz w:val="32"/>
          <w:szCs w:val="32"/>
        </w:rPr>
        <w:t>度部门项目支出实施绩效评价，评价项目</w:t>
      </w: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个，占部门项目总数的</w:t>
      </w:r>
      <w:r>
        <w:rPr>
          <w:rFonts w:hint="eastAsia" w:ascii="仿宋_GB2312" w:hAnsi="文星标宋" w:eastAsia="仿宋_GB2312" w:cs="Tahoma"/>
          <w:color w:val="000000"/>
          <w:sz w:val="32"/>
          <w:szCs w:val="32"/>
          <w:lang w:val="en-US" w:eastAsia="zh-CN"/>
        </w:rPr>
        <w:t>40</w:t>
      </w:r>
      <w:r>
        <w:rPr>
          <w:rFonts w:hint="eastAsia" w:ascii="仿宋_GB2312" w:hAnsi="文星标宋" w:eastAsia="仿宋_GB2312" w:cs="Tahoma"/>
          <w:color w:val="000000"/>
          <w:sz w:val="32"/>
          <w:szCs w:val="32"/>
        </w:rPr>
        <w:t>%，涉及金额</w:t>
      </w:r>
      <w:r>
        <w:rPr>
          <w:rFonts w:hint="eastAsia" w:ascii="仿宋_GB2312" w:hAnsi="文星标宋" w:eastAsia="仿宋_GB2312" w:cs="Tahoma"/>
          <w:color w:val="000000"/>
          <w:sz w:val="32"/>
          <w:szCs w:val="32"/>
          <w:lang w:val="en-US" w:eastAsia="zh-CN"/>
        </w:rPr>
        <w:t>381.83</w:t>
      </w:r>
      <w:r>
        <w:rPr>
          <w:rFonts w:hint="eastAsia" w:ascii="仿宋_GB2312" w:hAnsi="文星标宋" w:eastAsia="仿宋_GB2312" w:cs="Tahoma"/>
          <w:color w:val="000000"/>
          <w:sz w:val="32"/>
          <w:szCs w:val="32"/>
        </w:rPr>
        <w:t>万元。</w:t>
      </w:r>
    </w:p>
    <w:p>
      <w:pPr>
        <w:ind w:firstLine="640"/>
        <w:jc w:val="both"/>
        <w:rPr>
          <w:rFonts w:hint="eastAsia" w:ascii="仿宋_GB2312" w:hAnsi="文星标宋" w:eastAsia="仿宋_GB2312" w:cs="Tahoma"/>
          <w:color w:val="000000"/>
          <w:sz w:val="32"/>
          <w:szCs w:val="32"/>
          <w:lang w:val="en-US" w:eastAsia="zh-CN"/>
        </w:rPr>
      </w:pPr>
      <w:r>
        <w:rPr>
          <w:rFonts w:hint="eastAsia" w:ascii="仿宋" w:hAnsi="仿宋" w:eastAsia="仿宋" w:cs="仿宋"/>
          <w:b w:val="0"/>
          <w:bCs w:val="0"/>
          <w:sz w:val="32"/>
          <w:szCs w:val="32"/>
          <w:lang w:val="en-US" w:eastAsia="zh-CN"/>
        </w:rPr>
        <w:t>依据北京市大兴区财政局关于印发《大兴区项目支出绩效评价管理办法》的通知（京兴财绩效｛2021｝58号）文件精神，选择与本单位部门职能密切相关、金额较大、社会关注程度较高的项目。进行绩效评价。</w:t>
      </w:r>
      <w:r>
        <w:rPr>
          <w:rFonts w:hint="eastAsia" w:ascii="仿宋" w:hAnsi="仿宋" w:eastAsia="仿宋" w:cs="仿宋"/>
          <w:b w:val="0"/>
          <w:bCs w:val="0"/>
          <w:color w:val="000000"/>
          <w:sz w:val="32"/>
          <w:szCs w:val="32"/>
          <w:lang w:val="en-US" w:eastAsia="zh-CN"/>
        </w:rPr>
        <w:t>从项目资金执行情况、产出指标、效果指标三方面进行评价，总分100分。项目1、召开北京市</w:t>
      </w:r>
      <w:r>
        <w:rPr>
          <w:rFonts w:hint="eastAsia" w:ascii="仿宋_GB2312" w:hAnsi="文星标宋" w:eastAsia="仿宋_GB2312" w:cs="Tahoma"/>
          <w:color w:val="000000"/>
          <w:sz w:val="32"/>
          <w:szCs w:val="32"/>
          <w:lang w:val="en-US" w:eastAsia="zh-CN"/>
        </w:rPr>
        <w:t>大兴区第五届五次人民代表大会得分94.6分,人民代表大会通过各项决议及财政预算，保证了本地区经济社会稳定发展。项目2、北京市大兴区人大代表服务中心运行费得分100分，人大代表服务中心为区本级行政事业单位提供会议场所，进一步降低行政预算成本。</w:t>
      </w:r>
    </w:p>
    <w:p>
      <w:pPr>
        <w:ind w:firstLine="640"/>
        <w:jc w:val="both"/>
        <w:rPr>
          <w:rFonts w:hint="eastAsia" w:ascii="仿宋_GB2312" w:hAnsi="文星标宋" w:eastAsia="仿宋_GB2312" w:cs="Tahoma"/>
          <w:color w:val="000000"/>
          <w:sz w:val="32"/>
          <w:szCs w:val="32"/>
          <w:lang w:val="en-US" w:eastAsia="zh-CN"/>
        </w:rPr>
      </w:pPr>
      <w:r>
        <w:rPr>
          <w:rFonts w:hint="eastAsia" w:ascii="仿宋_GB2312" w:hAnsi="文星标宋" w:eastAsia="仿宋_GB2312" w:cs="Tahoma"/>
          <w:color w:val="000000"/>
          <w:sz w:val="32"/>
          <w:szCs w:val="32"/>
          <w:lang w:val="en-US" w:eastAsia="zh-CN"/>
        </w:rPr>
        <w:t>绩效评价工作由人大办公室牵头，责任委室配合对项目实施情况进行全程跟踪检查，选择与本单位部门职能密切联系相关、金额较大、社会关注程度较高的项目进行绩效评价。运用绩效评价指标从项目资金执行情况、产出指标、效益指标、满意度指标进行评分分析，两个项目均严格按照预算支出，专款专用，资金拨付及时，无滞留、闲置等现象。项目为人大代表履职和区人民代表大会的顺利召开提供了充分准备，保障了人大代表服务中心正常运行为大兴区区本级行政事业单位提供了高质量的会议服务。</w:t>
      </w:r>
    </w:p>
    <w:p>
      <w:pPr>
        <w:ind w:firstLine="640"/>
        <w:jc w:val="both"/>
        <w:rPr>
          <w:rFonts w:hint="eastAsia" w:ascii="仿宋_GB2312" w:hAnsi="文星标宋" w:eastAsia="仿宋_GB2312" w:cs="Tahoma"/>
          <w:color w:val="000000"/>
          <w:sz w:val="32"/>
          <w:szCs w:val="32"/>
          <w:lang w:val="en-US" w:eastAsia="zh-CN"/>
        </w:rPr>
      </w:pPr>
    </w:p>
    <w:p>
      <w:pPr>
        <w:ind w:firstLine="640"/>
        <w:jc w:val="both"/>
        <w:rPr>
          <w:rFonts w:hint="eastAsia" w:ascii="仿宋_GB2312" w:hAnsi="文星标宋" w:eastAsia="仿宋_GB2312" w:cs="Tahoma"/>
          <w:color w:val="000000"/>
          <w:sz w:val="32"/>
          <w:szCs w:val="32"/>
          <w:lang w:val="en-US" w:eastAsia="zh-CN"/>
        </w:rPr>
      </w:pPr>
    </w:p>
    <w:p>
      <w:pPr>
        <w:ind w:firstLine="640"/>
        <w:jc w:val="both"/>
        <w:rPr>
          <w:rFonts w:hint="eastAsia" w:ascii="仿宋_GB2312" w:hAnsi="文星标宋" w:eastAsia="仿宋_GB2312" w:cs="Tahoma"/>
          <w:color w:val="000000"/>
          <w:sz w:val="32"/>
          <w:szCs w:val="32"/>
          <w:lang w:val="en-US" w:eastAsia="zh-CN"/>
        </w:rPr>
      </w:pPr>
    </w:p>
    <w:p>
      <w:pPr>
        <w:ind w:firstLine="640"/>
        <w:jc w:val="both"/>
        <w:rPr>
          <w:rFonts w:hint="eastAsia" w:ascii="仿宋_GB2312" w:hAnsi="文星标宋" w:eastAsia="仿宋_GB2312" w:cs="Tahoma"/>
          <w:color w:val="000000"/>
          <w:sz w:val="32"/>
          <w:szCs w:val="32"/>
          <w:lang w:val="en-US" w:eastAsia="zh-CN"/>
        </w:rPr>
      </w:pPr>
    </w:p>
    <w:p>
      <w:pPr>
        <w:ind w:firstLine="640"/>
        <w:jc w:val="both"/>
        <w:rPr>
          <w:rFonts w:hint="eastAsia" w:ascii="仿宋_GB2312" w:hAnsi="文星标宋" w:eastAsia="仿宋_GB2312" w:cs="Tahoma"/>
          <w:color w:val="000000"/>
          <w:sz w:val="32"/>
          <w:szCs w:val="32"/>
          <w:lang w:val="en-US" w:eastAsia="zh-CN"/>
        </w:rPr>
      </w:pPr>
    </w:p>
    <w:p>
      <w:pPr>
        <w:ind w:firstLine="640"/>
        <w:jc w:val="both"/>
        <w:rPr>
          <w:rFonts w:hint="eastAsia" w:ascii="仿宋_GB2312" w:hAnsi="文星标宋" w:eastAsia="仿宋_GB2312" w:cs="Tahoma"/>
          <w:color w:val="000000"/>
          <w:sz w:val="32"/>
          <w:szCs w:val="32"/>
          <w:lang w:val="en-US" w:eastAsia="zh-CN"/>
        </w:rPr>
      </w:pPr>
    </w:p>
    <w:p>
      <w:pPr>
        <w:ind w:firstLine="640"/>
        <w:jc w:val="both"/>
        <w:rPr>
          <w:rFonts w:hint="eastAsia" w:ascii="仿宋_GB2312" w:hAnsi="文星标宋" w:eastAsia="仿宋_GB2312" w:cs="Tahoma"/>
          <w:color w:val="000000"/>
          <w:sz w:val="32"/>
          <w:szCs w:val="32"/>
          <w:lang w:val="en-US" w:eastAsia="zh-CN"/>
        </w:rPr>
      </w:pPr>
    </w:p>
    <w:p>
      <w:pPr>
        <w:ind w:firstLine="640"/>
        <w:jc w:val="both"/>
        <w:rPr>
          <w:rFonts w:hint="eastAsia" w:ascii="仿宋_GB2312" w:hAnsi="文星标宋" w:eastAsia="仿宋_GB2312" w:cs="Tahoma"/>
          <w:color w:val="000000"/>
          <w:sz w:val="32"/>
          <w:szCs w:val="32"/>
          <w:lang w:val="en-US" w:eastAsia="zh-CN"/>
        </w:rPr>
      </w:pPr>
    </w:p>
    <w:p>
      <w:pPr>
        <w:numPr>
          <w:ilvl w:val="0"/>
          <w:numId w:val="2"/>
        </w:numPr>
        <w:ind w:firstLine="640"/>
        <w:jc w:val="both"/>
        <w:rPr>
          <w:rFonts w:hint="eastAsia" w:ascii="仿宋_GB2312" w:hAnsi="文星标宋" w:eastAsia="仿宋_GB2312" w:cs="Tahoma"/>
          <w:b/>
          <w:bCs/>
          <w:color w:val="000000"/>
          <w:sz w:val="32"/>
          <w:szCs w:val="32"/>
          <w:lang w:val="en-US" w:eastAsia="zh-CN"/>
        </w:rPr>
      </w:pPr>
      <w:r>
        <w:rPr>
          <w:rFonts w:hint="eastAsia" w:ascii="仿宋_GB2312" w:hAnsi="文星标宋" w:eastAsia="仿宋_GB2312" w:cs="Tahoma"/>
          <w:b/>
          <w:bCs/>
          <w:color w:val="000000"/>
          <w:sz w:val="32"/>
          <w:szCs w:val="32"/>
          <w:lang w:val="en-US" w:eastAsia="zh-CN"/>
        </w:rPr>
        <w:t>重点项目支出绩效自评表</w:t>
      </w:r>
    </w:p>
    <w:p>
      <w:pPr>
        <w:spacing w:line="560" w:lineRule="exact"/>
        <w:rPr>
          <w:rFonts w:ascii="黑体" w:hAnsi="黑体" w:eastAsia="黑体"/>
          <w:sz w:val="30"/>
          <w:szCs w:val="30"/>
        </w:rPr>
      </w:pPr>
    </w:p>
    <w:tbl>
      <w:tblPr>
        <w:tblStyle w:val="5"/>
        <w:tblW w:w="8928" w:type="dxa"/>
        <w:jc w:val="center"/>
        <w:tblInd w:w="113" w:type="dxa"/>
        <w:tblLayout w:type="fixed"/>
        <w:tblCellMar>
          <w:top w:w="0" w:type="dxa"/>
          <w:left w:w="108" w:type="dxa"/>
          <w:bottom w:w="0" w:type="dxa"/>
          <w:right w:w="108" w:type="dxa"/>
        </w:tblCellMar>
      </w:tblPr>
      <w:tblGrid>
        <w:gridCol w:w="578"/>
        <w:gridCol w:w="963"/>
        <w:gridCol w:w="1041"/>
        <w:gridCol w:w="769"/>
        <w:gridCol w:w="1114"/>
        <w:gridCol w:w="421"/>
        <w:gridCol w:w="873"/>
        <w:gridCol w:w="938"/>
        <w:gridCol w:w="521"/>
        <w:gridCol w:w="175"/>
        <w:gridCol w:w="384"/>
        <w:gridCol w:w="452"/>
        <w:gridCol w:w="699"/>
      </w:tblGrid>
      <w:tr>
        <w:tblPrEx>
          <w:tblLayout w:type="fixed"/>
          <w:tblCellMar>
            <w:top w:w="0" w:type="dxa"/>
            <w:left w:w="108" w:type="dxa"/>
            <w:bottom w:w="0" w:type="dxa"/>
            <w:right w:w="108" w:type="dxa"/>
          </w:tblCellMar>
        </w:tblPrEx>
        <w:trPr>
          <w:trHeight w:val="440" w:hRule="exact"/>
          <w:jc w:val="center"/>
        </w:trPr>
        <w:tc>
          <w:tcPr>
            <w:tcW w:w="8928" w:type="dxa"/>
            <w:gridSpan w:val="13"/>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Layout w:type="fixed"/>
          <w:tblCellMar>
            <w:top w:w="0" w:type="dxa"/>
            <w:left w:w="108" w:type="dxa"/>
            <w:bottom w:w="0" w:type="dxa"/>
            <w:right w:w="108" w:type="dxa"/>
          </w:tblCellMar>
        </w:tblPrEx>
        <w:trPr>
          <w:trHeight w:val="194" w:hRule="atLeast"/>
          <w:jc w:val="center"/>
        </w:trPr>
        <w:tc>
          <w:tcPr>
            <w:tcW w:w="8928" w:type="dxa"/>
            <w:gridSpan w:val="13"/>
            <w:tcBorders>
              <w:top w:val="nil"/>
              <w:left w:val="nil"/>
              <w:bottom w:val="nil"/>
              <w:right w:val="nil"/>
            </w:tcBorders>
            <w:vAlign w:val="top"/>
          </w:tcPr>
          <w:p>
            <w:pPr>
              <w:widowControl/>
              <w:jc w:val="center"/>
              <w:rPr>
                <w:rFonts w:ascii="宋体" w:hAnsi="宋体" w:cs="宋体"/>
                <w:kern w:val="0"/>
                <w:sz w:val="22"/>
              </w:rPr>
            </w:pPr>
            <w:r>
              <w:rPr>
                <w:rFonts w:hint="eastAsia" w:ascii="宋体" w:hAnsi="宋体" w:cs="宋体"/>
                <w:kern w:val="0"/>
                <w:sz w:val="22"/>
              </w:rPr>
              <w:t>（</w:t>
            </w:r>
            <w:r>
              <w:rPr>
                <w:rFonts w:hint="eastAsia" w:ascii="宋体" w:hAnsi="宋体" w:cs="宋体"/>
                <w:kern w:val="0"/>
                <w:sz w:val="22"/>
                <w:lang w:val="en-US" w:eastAsia="zh-CN"/>
              </w:rPr>
              <w:t>2020</w:t>
            </w:r>
            <w:r>
              <w:rPr>
                <w:rFonts w:hint="eastAsia" w:ascii="宋体" w:hAnsi="宋体" w:cs="宋体"/>
                <w:kern w:val="0"/>
                <w:sz w:val="22"/>
              </w:rPr>
              <w:t>年度）</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38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召开北京市市大兴区第五届六次人民代表大会</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21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北京市大兴区人民代表大会常务委员会</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5"/>
                <w:szCs w:val="15"/>
                <w:lang w:eastAsia="zh-CN"/>
              </w:rPr>
            </w:pPr>
            <w:r>
              <w:rPr>
                <w:rFonts w:hint="eastAsia" w:ascii="宋体" w:hAnsi="宋体" w:cs="宋体"/>
                <w:kern w:val="0"/>
                <w:sz w:val="15"/>
                <w:szCs w:val="15"/>
                <w:lang w:eastAsia="zh-CN"/>
              </w:rPr>
              <w:t>北京市大兴区人民代表大会常务委员会大兴区人大代表服务中心</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w:t>
            </w:r>
            <w:r>
              <w:rPr>
                <w:rFonts w:ascii="宋体" w:hAnsi="宋体" w:cs="宋体"/>
                <w:kern w:val="0"/>
                <w:sz w:val="18"/>
                <w:szCs w:val="18"/>
              </w:rPr>
              <w:t>负责人</w:t>
            </w:r>
          </w:p>
        </w:tc>
        <w:tc>
          <w:tcPr>
            <w:tcW w:w="421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马士义</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联系电话</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61298803</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29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178.75万元</w:t>
            </w:r>
          </w:p>
        </w:tc>
        <w:tc>
          <w:tcPr>
            <w:tcW w:w="12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178.75万元</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81.83万元</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r>
              <w:rPr>
                <w:rFonts w:hint="eastAsia" w:ascii="宋体" w:hAnsi="宋体" w:cs="宋体"/>
                <w:kern w:val="0"/>
                <w:sz w:val="18"/>
                <w:szCs w:val="18"/>
                <w:lang w:eastAsia="zh-CN"/>
              </w:rPr>
              <w:t>分</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45.78%</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4.6</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178.75万元</w:t>
            </w:r>
          </w:p>
        </w:tc>
        <w:tc>
          <w:tcPr>
            <w:tcW w:w="129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178.75万元</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81.83万元</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45.78%</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185"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29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00"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29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1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Layout w:type="fixed"/>
          <w:tblCellMar>
            <w:top w:w="0" w:type="dxa"/>
            <w:left w:w="108" w:type="dxa"/>
            <w:bottom w:w="0" w:type="dxa"/>
            <w:right w:w="108" w:type="dxa"/>
          </w:tblCellMar>
        </w:tblPrEx>
        <w:trPr>
          <w:trHeight w:val="1381"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1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根据《中华人民共和国地方各级人民代表大会和地方各级人民政府组织法》第十一条“地方各级人民代表大会会议每年至少举行一次”的规定。区财政预算必须经人代会批准通过才能执行。为了确保</w:t>
            </w:r>
            <w:r>
              <w:rPr>
                <w:rFonts w:hint="eastAsia" w:ascii="宋体" w:hAnsi="宋体" w:cs="宋体"/>
                <w:kern w:val="0"/>
                <w:sz w:val="18"/>
                <w:szCs w:val="18"/>
                <w:lang w:val="en-US" w:eastAsia="zh-CN"/>
              </w:rPr>
              <w:t>2020年第五届六次人民代表大会顺利召开。</w:t>
            </w:r>
          </w:p>
        </w:tc>
        <w:tc>
          <w:tcPr>
            <w:tcW w:w="316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5"/>
                <w:szCs w:val="15"/>
                <w:lang w:eastAsia="zh-CN"/>
              </w:rPr>
              <w:t>以习近平新时代中国特色社会主义思想为指导，深入贯彻落实党的精神，坚持党的领导、人民当家作主、依法治国有机统一，在区委领导下，切实履行宪法和法律的职责，充分发挥民主，保障人大代表依法行使权利。</w:t>
            </w:r>
          </w:p>
        </w:tc>
      </w:tr>
      <w:tr>
        <w:tblPrEx>
          <w:tblLayout w:type="fixed"/>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04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50分</w:t>
            </w:r>
            <w:r>
              <w:rPr>
                <w:rFonts w:hint="eastAsia" w:ascii="宋体" w:hAnsi="宋体" w:cs="宋体"/>
                <w:kern w:val="0"/>
                <w:sz w:val="18"/>
                <w:szCs w:val="18"/>
                <w:lang w:eastAsia="zh-CN"/>
              </w:rPr>
              <w:t>）</w:t>
            </w:r>
          </w:p>
        </w:tc>
        <w:tc>
          <w:tcPr>
            <w:tcW w:w="104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r>
              <w:rPr>
                <w:rFonts w:hint="eastAsia" w:ascii="宋体" w:hAnsi="宋体" w:cs="宋体"/>
                <w:color w:val="000000"/>
                <w:kern w:val="0"/>
                <w:sz w:val="18"/>
                <w:szCs w:val="18"/>
                <w:lang w:eastAsia="zh-CN"/>
              </w:rPr>
              <w:t>会议场次</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1次</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1次</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lang w:eastAsia="zh-CN"/>
              </w:rPr>
            </w:pPr>
          </w:p>
        </w:tc>
        <w:tc>
          <w:tcPr>
            <w:tcW w:w="1041" w:type="dxa"/>
            <w:vMerge w:val="continue"/>
            <w:tcBorders>
              <w:left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指标2：</w:t>
            </w:r>
            <w:r>
              <w:rPr>
                <w:rFonts w:hint="eastAsia" w:ascii="宋体" w:hAnsi="宋体" w:cs="宋体"/>
                <w:color w:val="000000"/>
                <w:kern w:val="0"/>
                <w:sz w:val="18"/>
                <w:szCs w:val="18"/>
                <w:lang w:eastAsia="zh-CN"/>
              </w:rPr>
              <w:t>会议人数</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550人</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550人</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3</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3</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73"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eastAsia="zh-CN"/>
              </w:rPr>
              <w:t>指标</w:t>
            </w:r>
            <w:r>
              <w:rPr>
                <w:rFonts w:hint="eastAsia" w:ascii="宋体" w:hAnsi="宋体" w:cs="宋体"/>
                <w:color w:val="000000"/>
                <w:kern w:val="0"/>
                <w:sz w:val="18"/>
                <w:szCs w:val="18"/>
                <w:lang w:val="en-US" w:eastAsia="zh-CN"/>
              </w:rPr>
              <w:t>3：会议天数</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4天</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4天</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lang w:eastAsia="zh-CN"/>
              </w:rPr>
              <w:t>指标</w:t>
            </w:r>
            <w:r>
              <w:rPr>
                <w:rFonts w:hint="eastAsia" w:ascii="宋体" w:hAnsi="宋体" w:cs="宋体"/>
                <w:color w:val="000000"/>
                <w:kern w:val="0"/>
                <w:sz w:val="18"/>
                <w:szCs w:val="18"/>
                <w:lang w:val="en-US" w:eastAsia="zh-CN"/>
              </w:rPr>
              <w:t>4：会议发言</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9个</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9个</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6</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6</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r>
              <w:rPr>
                <w:rFonts w:hint="eastAsia" w:ascii="宋体" w:hAnsi="宋体" w:cs="宋体"/>
                <w:color w:val="000000"/>
                <w:kern w:val="0"/>
                <w:sz w:val="18"/>
                <w:szCs w:val="18"/>
                <w:lang w:eastAsia="zh-CN"/>
              </w:rPr>
              <w:t>会议参与度</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100%</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100%</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0"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r>
              <w:rPr>
                <w:rFonts w:hint="eastAsia" w:ascii="宋体" w:hAnsi="宋体" w:cs="宋体"/>
                <w:color w:val="000000"/>
                <w:kern w:val="0"/>
                <w:sz w:val="18"/>
                <w:szCs w:val="18"/>
                <w:lang w:eastAsia="zh-CN"/>
              </w:rPr>
              <w:t>会议覆盖率</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100%</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100%</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3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lang w:eastAsia="zh-CN"/>
              </w:rPr>
              <w:t>指标</w:t>
            </w:r>
            <w:r>
              <w:rPr>
                <w:rFonts w:hint="eastAsia" w:ascii="宋体" w:hAnsi="宋体" w:cs="宋体"/>
                <w:color w:val="000000"/>
                <w:kern w:val="0"/>
                <w:sz w:val="18"/>
                <w:szCs w:val="18"/>
                <w:lang w:val="en-US" w:eastAsia="zh-CN"/>
              </w:rPr>
              <w:t xml:space="preserve">3：会议决议 </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7个</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7个</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4</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09"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r>
              <w:rPr>
                <w:rFonts w:hint="eastAsia" w:ascii="宋体" w:hAnsi="宋体" w:cs="宋体"/>
                <w:color w:val="000000"/>
                <w:kern w:val="0"/>
                <w:sz w:val="18"/>
                <w:szCs w:val="18"/>
                <w:lang w:eastAsia="zh-CN"/>
              </w:rPr>
              <w:t>会议完成时间</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当年2月完成</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实际1月完成</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182"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182"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69"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r>
              <w:rPr>
                <w:rFonts w:hint="eastAsia" w:ascii="宋体" w:hAnsi="宋体" w:cs="宋体"/>
                <w:color w:val="000000"/>
                <w:kern w:val="0"/>
                <w:sz w:val="18"/>
                <w:szCs w:val="18"/>
                <w:lang w:eastAsia="zh-CN"/>
              </w:rPr>
              <w:t>项目预算控制数</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178.75万元15</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81.83万元</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7.5</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7.5</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1"/>
                <w:szCs w:val="11"/>
                <w:lang w:eastAsia="zh-CN"/>
              </w:rPr>
            </w:pPr>
            <w:r>
              <w:rPr>
                <w:rFonts w:hint="eastAsia" w:ascii="宋体" w:hAnsi="宋体" w:cs="宋体"/>
                <w:kern w:val="0"/>
                <w:sz w:val="11"/>
                <w:szCs w:val="11"/>
                <w:lang w:eastAsia="zh-CN"/>
              </w:rPr>
              <w:t>当年按财政协议价格给支出会议费</w:t>
            </w:r>
          </w:p>
        </w:tc>
      </w:tr>
      <w:tr>
        <w:tblPrEx>
          <w:tblLayout w:type="fixed"/>
          <w:tblCellMar>
            <w:top w:w="0" w:type="dxa"/>
            <w:left w:w="108" w:type="dxa"/>
            <w:bottom w:w="0" w:type="dxa"/>
            <w:right w:w="108" w:type="dxa"/>
          </w:tblCellMar>
        </w:tblPrEx>
        <w:trPr>
          <w:trHeight w:val="482"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lang w:eastAsia="zh-CN"/>
              </w:rPr>
              <w:t>指标</w:t>
            </w:r>
            <w:r>
              <w:rPr>
                <w:rFonts w:hint="eastAsia" w:ascii="宋体" w:hAnsi="宋体" w:cs="宋体"/>
                <w:color w:val="000000"/>
                <w:kern w:val="0"/>
                <w:sz w:val="18"/>
                <w:szCs w:val="18"/>
                <w:lang w:val="en-US" w:eastAsia="zh-CN"/>
              </w:rPr>
              <w:t>2：人均会议成本</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650元</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372元</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7.5</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7.5</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1"/>
                <w:szCs w:val="11"/>
                <w:lang w:eastAsia="zh-CN"/>
              </w:rPr>
              <w:t>当年按财政协议价格给支出会议费</w:t>
            </w:r>
          </w:p>
        </w:tc>
      </w:tr>
      <w:tr>
        <w:tblPrEx>
          <w:tblLayout w:type="fixed"/>
          <w:tblCellMar>
            <w:top w:w="0" w:type="dxa"/>
            <w:left w:w="108" w:type="dxa"/>
            <w:bottom w:w="0" w:type="dxa"/>
            <w:right w:w="108" w:type="dxa"/>
          </w:tblCellMar>
        </w:tblPrEx>
        <w:trPr>
          <w:trHeight w:val="209"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19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30分</w:t>
            </w:r>
            <w:r>
              <w:rPr>
                <w:rFonts w:hint="eastAsia" w:ascii="宋体" w:hAnsi="宋体" w:cs="宋体"/>
                <w:kern w:val="0"/>
                <w:sz w:val="18"/>
                <w:szCs w:val="18"/>
                <w:lang w:eastAsia="zh-CN"/>
              </w:rPr>
              <w:t>）</w:t>
            </w:r>
          </w:p>
        </w:tc>
        <w:tc>
          <w:tcPr>
            <w:tcW w:w="104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182"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23"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r>
              <w:rPr>
                <w:rFonts w:hint="eastAsia" w:ascii="宋体" w:hAnsi="宋体" w:cs="宋体"/>
                <w:color w:val="000000"/>
                <w:kern w:val="0"/>
                <w:sz w:val="18"/>
                <w:szCs w:val="18"/>
                <w:lang w:eastAsia="zh-CN"/>
              </w:rPr>
              <w:t>人代会社会影响力</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eastAsia="zh-CN"/>
              </w:rPr>
            </w:pPr>
            <w:r>
              <w:rPr>
                <w:rFonts w:hint="eastAsia" w:ascii="宋体" w:hAnsi="宋体" w:cs="宋体"/>
                <w:kern w:val="0"/>
                <w:sz w:val="15"/>
                <w:szCs w:val="15"/>
                <w:lang w:eastAsia="zh-CN"/>
              </w:rPr>
              <w:t>得到提升</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5"/>
                <w:szCs w:val="15"/>
                <w:lang w:eastAsia="zh-CN"/>
              </w:rPr>
              <w:t>得到提升</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15</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15</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9"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both"/>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19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09"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15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3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w:t>
            </w: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可持续影响力</w:t>
            </w: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5"/>
                <w:szCs w:val="15"/>
                <w:lang w:eastAsia="zh-CN"/>
              </w:rPr>
              <w:t>得到提升</w:t>
            </w: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5"/>
                <w:szCs w:val="15"/>
                <w:lang w:eastAsia="zh-CN"/>
              </w:rPr>
              <w:t>得到提升</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15</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15</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182"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155"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23"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10分</w:t>
            </w:r>
            <w:r>
              <w:rPr>
                <w:rFonts w:hint="eastAsia" w:ascii="宋体" w:hAnsi="宋体" w:cs="宋体"/>
                <w:kern w:val="0"/>
                <w:sz w:val="18"/>
                <w:szCs w:val="18"/>
                <w:lang w:eastAsia="zh-CN"/>
              </w:rPr>
              <w:t>）</w:t>
            </w:r>
          </w:p>
        </w:tc>
        <w:tc>
          <w:tcPr>
            <w:tcW w:w="10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r>
              <w:rPr>
                <w:rFonts w:hint="eastAsia" w:ascii="宋体" w:hAnsi="宋体" w:cs="宋体"/>
                <w:color w:val="000000"/>
                <w:kern w:val="0"/>
                <w:sz w:val="18"/>
                <w:szCs w:val="18"/>
                <w:lang w:eastAsia="zh-CN"/>
              </w:rPr>
              <w:t>人大代表满意</w:t>
            </w:r>
            <w:r>
              <w:rPr>
                <w:rFonts w:hint="eastAsia" w:ascii="宋体" w:hAnsi="宋体" w:cs="宋体"/>
                <w:color w:val="000000"/>
                <w:kern w:val="0"/>
                <w:sz w:val="18"/>
                <w:szCs w:val="18"/>
                <w:lang w:val="en-US" w:eastAsia="zh-CN"/>
              </w:rPr>
              <w:t>度</w:t>
            </w:r>
          </w:p>
        </w:tc>
        <w:tc>
          <w:tcPr>
            <w:tcW w:w="8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100%</w:t>
            </w:r>
          </w:p>
        </w:tc>
        <w:tc>
          <w:tcPr>
            <w:tcW w:w="9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100%</w:t>
            </w:r>
          </w:p>
        </w:tc>
        <w:tc>
          <w:tcPr>
            <w:tcW w:w="52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w:t>
            </w:r>
          </w:p>
        </w:tc>
        <w:tc>
          <w:tcPr>
            <w:tcW w:w="5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63"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0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7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3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669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2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color w:val="000000"/>
                <w:kern w:val="0"/>
                <w:sz w:val="13"/>
                <w:szCs w:val="13"/>
                <w:lang w:val="en-US" w:eastAsia="zh-CN"/>
              </w:rPr>
            </w:pPr>
            <w:r>
              <w:rPr>
                <w:rFonts w:hint="eastAsia" w:ascii="宋体" w:hAnsi="宋体" w:cs="宋体"/>
                <w:color w:val="000000"/>
                <w:kern w:val="0"/>
                <w:sz w:val="13"/>
                <w:szCs w:val="13"/>
                <w:lang w:val="en-US" w:eastAsia="zh-CN"/>
              </w:rPr>
              <w:t>94.600</w:t>
            </w:r>
          </w:p>
        </w:tc>
        <w:tc>
          <w:tcPr>
            <w:tcW w:w="5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eastAsiaTheme="minorEastAsia"/>
                <w:color w:val="000000"/>
                <w:kern w:val="0"/>
                <w:sz w:val="13"/>
                <w:szCs w:val="13"/>
                <w:lang w:val="en-US" w:eastAsia="zh-CN"/>
              </w:rPr>
            </w:pPr>
            <w:r>
              <w:rPr>
                <w:rFonts w:hint="eastAsia" w:ascii="宋体" w:hAnsi="宋体" w:cs="宋体"/>
                <w:color w:val="000000"/>
                <w:kern w:val="0"/>
                <w:sz w:val="13"/>
                <w:szCs w:val="13"/>
                <w:lang w:val="en-US" w:eastAsia="zh-CN"/>
              </w:rPr>
              <w:t>94.6</w:t>
            </w:r>
          </w:p>
        </w:tc>
        <w:tc>
          <w:tcPr>
            <w:tcW w:w="11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3"/>
                <w:szCs w:val="13"/>
              </w:rPr>
            </w:pPr>
          </w:p>
        </w:tc>
      </w:tr>
    </w:tbl>
    <w:p>
      <w:pPr>
        <w:spacing w:line="560" w:lineRule="exact"/>
        <w:rPr>
          <w:rFonts w:ascii="黑体" w:hAnsi="黑体" w:eastAsia="黑体"/>
          <w:sz w:val="30"/>
          <w:szCs w:val="30"/>
        </w:rPr>
      </w:pPr>
    </w:p>
    <w:p/>
    <w:p>
      <w:pPr>
        <w:numPr>
          <w:ilvl w:val="0"/>
          <w:numId w:val="0"/>
        </w:numPr>
        <w:jc w:val="both"/>
        <w:rPr>
          <w:rFonts w:hint="eastAsia" w:ascii="仿宋_GB2312" w:hAnsi="文星标宋" w:eastAsia="仿宋_GB2312" w:cs="Tahoma"/>
          <w:b/>
          <w:bCs/>
          <w:color w:val="000000"/>
          <w:sz w:val="32"/>
          <w:szCs w:val="32"/>
          <w:lang w:val="en-US" w:eastAsia="zh-CN"/>
        </w:rPr>
      </w:pPr>
    </w:p>
    <w:p>
      <w:pPr>
        <w:numPr>
          <w:ilvl w:val="0"/>
          <w:numId w:val="0"/>
        </w:numPr>
        <w:jc w:val="both"/>
        <w:rPr>
          <w:rFonts w:hint="eastAsia" w:ascii="仿宋_GB2312" w:hAnsi="文星标宋" w:eastAsia="仿宋_GB2312" w:cs="Tahoma"/>
          <w:color w:val="000000"/>
          <w:sz w:val="32"/>
          <w:szCs w:val="32"/>
          <w:lang w:val="en-US" w:eastAsia="zh-CN"/>
        </w:rPr>
      </w:pPr>
      <w:r>
        <w:rPr>
          <w:rFonts w:hint="eastAsia" w:ascii="仿宋_GB2312" w:hAnsi="文星标宋" w:eastAsia="仿宋_GB2312" w:cs="Tahoma"/>
          <w:color w:val="000000"/>
          <w:sz w:val="32"/>
          <w:szCs w:val="32"/>
          <w:lang w:val="en-US" w:eastAsia="zh-CN"/>
        </w:rPr>
        <w:t xml:space="preserve"> </w:t>
      </w:r>
    </w:p>
    <w:p>
      <w:pPr>
        <w:spacing w:line="560" w:lineRule="exact"/>
        <w:ind w:firstLine="420" w:firstLineChars="150"/>
        <w:rPr>
          <w:rFonts w:hint="eastAsia" w:ascii="仿宋_GB2312" w:eastAsia="仿宋_GB2312"/>
          <w:sz w:val="28"/>
          <w:szCs w:val="28"/>
        </w:rPr>
      </w:pPr>
    </w:p>
    <w:p>
      <w:pPr>
        <w:spacing w:line="560" w:lineRule="exact"/>
        <w:ind w:firstLine="420" w:firstLineChars="150"/>
        <w:rPr>
          <w:rFonts w:hint="eastAsia" w:ascii="仿宋_GB2312" w:eastAsia="仿宋_GB2312"/>
          <w:sz w:val="28"/>
          <w:szCs w:val="28"/>
        </w:rPr>
      </w:pPr>
    </w:p>
    <w:p>
      <w:pPr>
        <w:spacing w:line="560" w:lineRule="exact"/>
        <w:ind w:firstLine="420" w:firstLineChars="150"/>
        <w:jc w:val="right"/>
        <w:rPr>
          <w:rFonts w:hint="eastAsia" w:ascii="仿宋_GB2312" w:eastAsia="仿宋_GB2312"/>
          <w:sz w:val="28"/>
          <w:szCs w:val="28"/>
          <w:lang w:eastAsia="zh-CN"/>
        </w:rPr>
      </w:pPr>
      <w:r>
        <w:rPr>
          <w:rFonts w:hint="eastAsia" w:ascii="仿宋_GB2312" w:eastAsia="仿宋_GB2312"/>
          <w:sz w:val="28"/>
          <w:szCs w:val="28"/>
          <w:lang w:eastAsia="zh-CN"/>
        </w:rPr>
        <w:t>北京市大兴区人民代表大会常务委员会</w:t>
      </w:r>
    </w:p>
    <w:p>
      <w:pPr>
        <w:spacing w:line="560" w:lineRule="exact"/>
        <w:ind w:firstLine="420" w:firstLineChars="150"/>
        <w:jc w:val="right"/>
      </w:pPr>
      <w:r>
        <w:rPr>
          <w:rFonts w:hint="eastAsia" w:ascii="仿宋_GB2312" w:eastAsia="仿宋_GB2312"/>
          <w:sz w:val="28"/>
          <w:szCs w:val="28"/>
          <w:lang w:val="en-US" w:eastAsia="zh-CN"/>
        </w:rPr>
        <w:t>2 0 2 1  年   0 8  月 30 日</w:t>
      </w:r>
    </w:p>
    <w:sectPr>
      <w:footerReference r:id="rId3" w:type="default"/>
      <w:pgSz w:w="16783" w:h="11850" w:orient="landscape"/>
      <w:pgMar w:top="873" w:right="1134" w:bottom="87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文星标宋">
    <w:altName w:val="微软雅黑"/>
    <w:panose1 w:val="00000000000000000000"/>
    <w:charset w:val="86"/>
    <w:family w:val="auto"/>
    <w:pitch w:val="default"/>
    <w:sig w:usb0="00000000" w:usb1="00000000" w:usb2="00000000" w:usb3="00000000" w:csb0="00040001" w:csb1="00000000"/>
  </w:font>
  <w:font w:name="Tahoma">
    <w:panose1 w:val="020B0604030504040204"/>
    <w:charset w:val="00"/>
    <w:family w:val="modern"/>
    <w:pitch w:val="default"/>
    <w:sig w:usb0="E1002EFF" w:usb1="C000605B" w:usb2="00000029" w:usb3="00000000" w:csb0="200101FF" w:csb1="20280000"/>
  </w:font>
  <w:font w:name="楷体_GB2312">
    <w:altName w:val="楷体"/>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modern"/>
    <w:pitch w:val="default"/>
    <w:sig w:usb0="00000000" w:usb1="00000000" w:usb2="0000003F" w:usb3="00000000" w:csb0="003F01F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Browallia New">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36BC2"/>
    <w:multiLevelType w:val="singleLevel"/>
    <w:tmpl w:val="5D636BC2"/>
    <w:lvl w:ilvl="0" w:tentative="0">
      <w:start w:val="1"/>
      <w:numFmt w:val="decimal"/>
      <w:suff w:val="nothing"/>
      <w:lvlText w:val="（%1）"/>
      <w:lvlJc w:val="left"/>
    </w:lvl>
  </w:abstractNum>
  <w:abstractNum w:abstractNumId="1">
    <w:nsid w:val="612C49C3"/>
    <w:multiLevelType w:val="singleLevel"/>
    <w:tmpl w:val="612C49C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7725"/>
    <w:rsid w:val="0000025E"/>
    <w:rsid w:val="000003B6"/>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5CCA"/>
    <w:rsid w:val="000C2CEB"/>
    <w:rsid w:val="000C3F9C"/>
    <w:rsid w:val="000D2716"/>
    <w:rsid w:val="000E2387"/>
    <w:rsid w:val="000E452B"/>
    <w:rsid w:val="000F61A9"/>
    <w:rsid w:val="00100309"/>
    <w:rsid w:val="001348D2"/>
    <w:rsid w:val="00147B15"/>
    <w:rsid w:val="001552C5"/>
    <w:rsid w:val="001623CB"/>
    <w:rsid w:val="0017070B"/>
    <w:rsid w:val="001833DA"/>
    <w:rsid w:val="00184530"/>
    <w:rsid w:val="0018734B"/>
    <w:rsid w:val="001900B5"/>
    <w:rsid w:val="001974AE"/>
    <w:rsid w:val="001A5971"/>
    <w:rsid w:val="001A6B1A"/>
    <w:rsid w:val="001B0F7A"/>
    <w:rsid w:val="001B1472"/>
    <w:rsid w:val="001B3F72"/>
    <w:rsid w:val="001D21B7"/>
    <w:rsid w:val="001E360C"/>
    <w:rsid w:val="001F170D"/>
    <w:rsid w:val="001F4268"/>
    <w:rsid w:val="001F6235"/>
    <w:rsid w:val="002317EC"/>
    <w:rsid w:val="00231B8E"/>
    <w:rsid w:val="00244BC3"/>
    <w:rsid w:val="002470BC"/>
    <w:rsid w:val="00263D38"/>
    <w:rsid w:val="002676EF"/>
    <w:rsid w:val="0027086F"/>
    <w:rsid w:val="002A0848"/>
    <w:rsid w:val="002A14DB"/>
    <w:rsid w:val="002A7760"/>
    <w:rsid w:val="002B4153"/>
    <w:rsid w:val="002C46D9"/>
    <w:rsid w:val="002C5412"/>
    <w:rsid w:val="002D0F54"/>
    <w:rsid w:val="003064C8"/>
    <w:rsid w:val="00325BA3"/>
    <w:rsid w:val="00330A87"/>
    <w:rsid w:val="003314E1"/>
    <w:rsid w:val="00336D33"/>
    <w:rsid w:val="00337AC6"/>
    <w:rsid w:val="003444D5"/>
    <w:rsid w:val="00361A13"/>
    <w:rsid w:val="0037070A"/>
    <w:rsid w:val="0037305D"/>
    <w:rsid w:val="00382CF1"/>
    <w:rsid w:val="00385223"/>
    <w:rsid w:val="00386299"/>
    <w:rsid w:val="003909AF"/>
    <w:rsid w:val="00394C8B"/>
    <w:rsid w:val="00395381"/>
    <w:rsid w:val="00397C1D"/>
    <w:rsid w:val="003A0A48"/>
    <w:rsid w:val="003A0F00"/>
    <w:rsid w:val="003A2B2B"/>
    <w:rsid w:val="003A75E3"/>
    <w:rsid w:val="003B3D35"/>
    <w:rsid w:val="003C49F1"/>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C1B81"/>
    <w:rsid w:val="004D43E7"/>
    <w:rsid w:val="004E5AD5"/>
    <w:rsid w:val="004F1E64"/>
    <w:rsid w:val="004F42A8"/>
    <w:rsid w:val="004F7567"/>
    <w:rsid w:val="005174F3"/>
    <w:rsid w:val="00520CFF"/>
    <w:rsid w:val="00525C2E"/>
    <w:rsid w:val="005347B1"/>
    <w:rsid w:val="00537620"/>
    <w:rsid w:val="00547901"/>
    <w:rsid w:val="0055127C"/>
    <w:rsid w:val="00561224"/>
    <w:rsid w:val="0056701D"/>
    <w:rsid w:val="00572CEB"/>
    <w:rsid w:val="005772C4"/>
    <w:rsid w:val="00577566"/>
    <w:rsid w:val="00582D9F"/>
    <w:rsid w:val="00584B1C"/>
    <w:rsid w:val="00591764"/>
    <w:rsid w:val="005B3390"/>
    <w:rsid w:val="005B5198"/>
    <w:rsid w:val="005B64AF"/>
    <w:rsid w:val="005B7BA8"/>
    <w:rsid w:val="005C23FB"/>
    <w:rsid w:val="005E1A81"/>
    <w:rsid w:val="0060692B"/>
    <w:rsid w:val="00610C69"/>
    <w:rsid w:val="00614583"/>
    <w:rsid w:val="0061507D"/>
    <w:rsid w:val="00623722"/>
    <w:rsid w:val="00627A2C"/>
    <w:rsid w:val="00647CF0"/>
    <w:rsid w:val="006653B0"/>
    <w:rsid w:val="00675BB7"/>
    <w:rsid w:val="006957C8"/>
    <w:rsid w:val="00697D91"/>
    <w:rsid w:val="006A2583"/>
    <w:rsid w:val="006A6270"/>
    <w:rsid w:val="006B21E1"/>
    <w:rsid w:val="006B602E"/>
    <w:rsid w:val="006C1DB3"/>
    <w:rsid w:val="006C64F3"/>
    <w:rsid w:val="006E3A25"/>
    <w:rsid w:val="006F2E1A"/>
    <w:rsid w:val="006F5696"/>
    <w:rsid w:val="00703E68"/>
    <w:rsid w:val="00713FFF"/>
    <w:rsid w:val="0071543C"/>
    <w:rsid w:val="00716600"/>
    <w:rsid w:val="00716F73"/>
    <w:rsid w:val="0072134B"/>
    <w:rsid w:val="0072158F"/>
    <w:rsid w:val="00741508"/>
    <w:rsid w:val="00752306"/>
    <w:rsid w:val="007572F2"/>
    <w:rsid w:val="00760505"/>
    <w:rsid w:val="00792655"/>
    <w:rsid w:val="007A36F2"/>
    <w:rsid w:val="007A4095"/>
    <w:rsid w:val="007B6E5B"/>
    <w:rsid w:val="007E18E4"/>
    <w:rsid w:val="007F10E9"/>
    <w:rsid w:val="008174AF"/>
    <w:rsid w:val="00824C34"/>
    <w:rsid w:val="00832DB3"/>
    <w:rsid w:val="008444E9"/>
    <w:rsid w:val="00851749"/>
    <w:rsid w:val="00877BFD"/>
    <w:rsid w:val="00881CD1"/>
    <w:rsid w:val="00892061"/>
    <w:rsid w:val="008A02F8"/>
    <w:rsid w:val="008A6185"/>
    <w:rsid w:val="008A6D2F"/>
    <w:rsid w:val="008B692E"/>
    <w:rsid w:val="008B7F50"/>
    <w:rsid w:val="008C5FCD"/>
    <w:rsid w:val="008D49A3"/>
    <w:rsid w:val="008D6257"/>
    <w:rsid w:val="008E4479"/>
    <w:rsid w:val="008E6637"/>
    <w:rsid w:val="008F6E3F"/>
    <w:rsid w:val="00906877"/>
    <w:rsid w:val="00934EBF"/>
    <w:rsid w:val="00936F85"/>
    <w:rsid w:val="00945CFE"/>
    <w:rsid w:val="00953259"/>
    <w:rsid w:val="009556DE"/>
    <w:rsid w:val="0097007F"/>
    <w:rsid w:val="0098374F"/>
    <w:rsid w:val="00985F0E"/>
    <w:rsid w:val="00993F30"/>
    <w:rsid w:val="009960B5"/>
    <w:rsid w:val="009A14F0"/>
    <w:rsid w:val="009A2E31"/>
    <w:rsid w:val="009A3C25"/>
    <w:rsid w:val="009B4441"/>
    <w:rsid w:val="009B64B9"/>
    <w:rsid w:val="009C6658"/>
    <w:rsid w:val="009D216B"/>
    <w:rsid w:val="009E4B99"/>
    <w:rsid w:val="009F1932"/>
    <w:rsid w:val="00A214FF"/>
    <w:rsid w:val="00A35E01"/>
    <w:rsid w:val="00A40484"/>
    <w:rsid w:val="00A4106A"/>
    <w:rsid w:val="00A41B47"/>
    <w:rsid w:val="00A4747C"/>
    <w:rsid w:val="00A56DD3"/>
    <w:rsid w:val="00A636AE"/>
    <w:rsid w:val="00A71887"/>
    <w:rsid w:val="00A731E5"/>
    <w:rsid w:val="00A73D51"/>
    <w:rsid w:val="00A76885"/>
    <w:rsid w:val="00A86FA9"/>
    <w:rsid w:val="00A8779C"/>
    <w:rsid w:val="00A87F04"/>
    <w:rsid w:val="00AA58BF"/>
    <w:rsid w:val="00AB1B34"/>
    <w:rsid w:val="00AB2D5B"/>
    <w:rsid w:val="00AC10F7"/>
    <w:rsid w:val="00AE50FE"/>
    <w:rsid w:val="00AF2BDE"/>
    <w:rsid w:val="00AF6AAE"/>
    <w:rsid w:val="00B10333"/>
    <w:rsid w:val="00B139E8"/>
    <w:rsid w:val="00B1451C"/>
    <w:rsid w:val="00B42675"/>
    <w:rsid w:val="00B44AD1"/>
    <w:rsid w:val="00B4514F"/>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E2552"/>
    <w:rsid w:val="00BF4D53"/>
    <w:rsid w:val="00C02544"/>
    <w:rsid w:val="00C1207A"/>
    <w:rsid w:val="00C14C5F"/>
    <w:rsid w:val="00C459E5"/>
    <w:rsid w:val="00C45F68"/>
    <w:rsid w:val="00C465E9"/>
    <w:rsid w:val="00C4724C"/>
    <w:rsid w:val="00C630CA"/>
    <w:rsid w:val="00C65807"/>
    <w:rsid w:val="00C776BC"/>
    <w:rsid w:val="00C86624"/>
    <w:rsid w:val="00C91F7F"/>
    <w:rsid w:val="00C95E00"/>
    <w:rsid w:val="00C96670"/>
    <w:rsid w:val="00CA763F"/>
    <w:rsid w:val="00CB073C"/>
    <w:rsid w:val="00CC532F"/>
    <w:rsid w:val="00CD02CA"/>
    <w:rsid w:val="00CD7E69"/>
    <w:rsid w:val="00CE2480"/>
    <w:rsid w:val="00CF0630"/>
    <w:rsid w:val="00D004E0"/>
    <w:rsid w:val="00D013DE"/>
    <w:rsid w:val="00D25006"/>
    <w:rsid w:val="00D43D03"/>
    <w:rsid w:val="00D46E55"/>
    <w:rsid w:val="00D52FB3"/>
    <w:rsid w:val="00D641D9"/>
    <w:rsid w:val="00D72F0C"/>
    <w:rsid w:val="00D74E3D"/>
    <w:rsid w:val="00D82631"/>
    <w:rsid w:val="00D84261"/>
    <w:rsid w:val="00D84389"/>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309A7"/>
    <w:rsid w:val="00E3177C"/>
    <w:rsid w:val="00E342DA"/>
    <w:rsid w:val="00E51DEC"/>
    <w:rsid w:val="00E5423B"/>
    <w:rsid w:val="00E54C18"/>
    <w:rsid w:val="00E70EF7"/>
    <w:rsid w:val="00E71699"/>
    <w:rsid w:val="00E80235"/>
    <w:rsid w:val="00E833D6"/>
    <w:rsid w:val="00EA2422"/>
    <w:rsid w:val="00ED3CAD"/>
    <w:rsid w:val="00EE1D23"/>
    <w:rsid w:val="00EF082B"/>
    <w:rsid w:val="00EF35D9"/>
    <w:rsid w:val="00EF53AE"/>
    <w:rsid w:val="00F03AB4"/>
    <w:rsid w:val="00F03D78"/>
    <w:rsid w:val="00F10230"/>
    <w:rsid w:val="00F16E94"/>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5F5A"/>
    <w:rsid w:val="00FC468E"/>
    <w:rsid w:val="00FC55F0"/>
    <w:rsid w:val="00FD6F31"/>
    <w:rsid w:val="00FD7405"/>
    <w:rsid w:val="00FE0BC2"/>
    <w:rsid w:val="00FE2630"/>
    <w:rsid w:val="00FE4B35"/>
    <w:rsid w:val="00FE4BEB"/>
    <w:rsid w:val="00FF1113"/>
    <w:rsid w:val="00FF1A79"/>
    <w:rsid w:val="029638CF"/>
    <w:rsid w:val="0392289F"/>
    <w:rsid w:val="039D4C12"/>
    <w:rsid w:val="04510321"/>
    <w:rsid w:val="04C23F4D"/>
    <w:rsid w:val="04FF0FD6"/>
    <w:rsid w:val="057E326F"/>
    <w:rsid w:val="06393942"/>
    <w:rsid w:val="066A3AAB"/>
    <w:rsid w:val="06BB7496"/>
    <w:rsid w:val="07026F04"/>
    <w:rsid w:val="072F1584"/>
    <w:rsid w:val="082F273B"/>
    <w:rsid w:val="0852126E"/>
    <w:rsid w:val="08B90D30"/>
    <w:rsid w:val="09F31F4B"/>
    <w:rsid w:val="0A0A652F"/>
    <w:rsid w:val="0ADB6735"/>
    <w:rsid w:val="0B254E57"/>
    <w:rsid w:val="0BDE6804"/>
    <w:rsid w:val="0C421D74"/>
    <w:rsid w:val="0CE66B23"/>
    <w:rsid w:val="0D4F6A58"/>
    <w:rsid w:val="0D55680A"/>
    <w:rsid w:val="0FC26448"/>
    <w:rsid w:val="0FC6457C"/>
    <w:rsid w:val="10027310"/>
    <w:rsid w:val="10BE1335"/>
    <w:rsid w:val="10E21E59"/>
    <w:rsid w:val="11B5067B"/>
    <w:rsid w:val="12AA5F2D"/>
    <w:rsid w:val="133A731A"/>
    <w:rsid w:val="13413B36"/>
    <w:rsid w:val="144A213C"/>
    <w:rsid w:val="15B9120D"/>
    <w:rsid w:val="15EE2487"/>
    <w:rsid w:val="19305302"/>
    <w:rsid w:val="19E14D38"/>
    <w:rsid w:val="1A6A5B64"/>
    <w:rsid w:val="1A8E3CB9"/>
    <w:rsid w:val="1ABC7DD1"/>
    <w:rsid w:val="1C681BC2"/>
    <w:rsid w:val="1C9E734C"/>
    <w:rsid w:val="1CCA4F57"/>
    <w:rsid w:val="1CDF36DA"/>
    <w:rsid w:val="1DAC49BC"/>
    <w:rsid w:val="1E2E0FFB"/>
    <w:rsid w:val="1EEA1F20"/>
    <w:rsid w:val="1F1C0096"/>
    <w:rsid w:val="217A7B97"/>
    <w:rsid w:val="21E95C4D"/>
    <w:rsid w:val="222B5180"/>
    <w:rsid w:val="22D26EC1"/>
    <w:rsid w:val="22E175DB"/>
    <w:rsid w:val="269D370F"/>
    <w:rsid w:val="2BCA23E3"/>
    <w:rsid w:val="2C0F64EA"/>
    <w:rsid w:val="2C44160D"/>
    <w:rsid w:val="2C937968"/>
    <w:rsid w:val="2DB7716C"/>
    <w:rsid w:val="2F0D1DD7"/>
    <w:rsid w:val="2F663B41"/>
    <w:rsid w:val="2FE83107"/>
    <w:rsid w:val="32FF3217"/>
    <w:rsid w:val="33B444E3"/>
    <w:rsid w:val="34103577"/>
    <w:rsid w:val="341F5DDB"/>
    <w:rsid w:val="3457176D"/>
    <w:rsid w:val="371A791D"/>
    <w:rsid w:val="37843468"/>
    <w:rsid w:val="37DC6FC5"/>
    <w:rsid w:val="38087CB9"/>
    <w:rsid w:val="38905E85"/>
    <w:rsid w:val="39C63736"/>
    <w:rsid w:val="3A5F4E01"/>
    <w:rsid w:val="3AC06BF4"/>
    <w:rsid w:val="3B5762D8"/>
    <w:rsid w:val="3C15041F"/>
    <w:rsid w:val="3CB3393B"/>
    <w:rsid w:val="3D2C346A"/>
    <w:rsid w:val="3DE81051"/>
    <w:rsid w:val="3EE94A45"/>
    <w:rsid w:val="3F4B59E3"/>
    <w:rsid w:val="404B032D"/>
    <w:rsid w:val="40C2313D"/>
    <w:rsid w:val="42BC0C22"/>
    <w:rsid w:val="432B3440"/>
    <w:rsid w:val="43707F48"/>
    <w:rsid w:val="447D5CE6"/>
    <w:rsid w:val="44D161EA"/>
    <w:rsid w:val="45BE702E"/>
    <w:rsid w:val="472707CD"/>
    <w:rsid w:val="474B436C"/>
    <w:rsid w:val="49825129"/>
    <w:rsid w:val="4A986706"/>
    <w:rsid w:val="4B2444D5"/>
    <w:rsid w:val="4B9D3335"/>
    <w:rsid w:val="4BC465DD"/>
    <w:rsid w:val="4BE00EC8"/>
    <w:rsid w:val="4D5F6514"/>
    <w:rsid w:val="4DC41957"/>
    <w:rsid w:val="4E05458D"/>
    <w:rsid w:val="4E43170A"/>
    <w:rsid w:val="50601630"/>
    <w:rsid w:val="51C83D24"/>
    <w:rsid w:val="51FE367B"/>
    <w:rsid w:val="52347EB1"/>
    <w:rsid w:val="539159AC"/>
    <w:rsid w:val="53FD6F2F"/>
    <w:rsid w:val="54815C87"/>
    <w:rsid w:val="550B7314"/>
    <w:rsid w:val="56074088"/>
    <w:rsid w:val="563F3E8D"/>
    <w:rsid w:val="57D94963"/>
    <w:rsid w:val="582A0567"/>
    <w:rsid w:val="595F01C9"/>
    <w:rsid w:val="59D0679C"/>
    <w:rsid w:val="5B8A693E"/>
    <w:rsid w:val="5BA6028C"/>
    <w:rsid w:val="5BFB4DA4"/>
    <w:rsid w:val="5C7F4417"/>
    <w:rsid w:val="5CF4175F"/>
    <w:rsid w:val="5D5357C0"/>
    <w:rsid w:val="5D8573E8"/>
    <w:rsid w:val="5E3716B3"/>
    <w:rsid w:val="5E3F5942"/>
    <w:rsid w:val="5E5B6105"/>
    <w:rsid w:val="60173D4A"/>
    <w:rsid w:val="603D67BF"/>
    <w:rsid w:val="61D038B9"/>
    <w:rsid w:val="627E5F58"/>
    <w:rsid w:val="62BB6F54"/>
    <w:rsid w:val="634755F0"/>
    <w:rsid w:val="637109B2"/>
    <w:rsid w:val="63785DBF"/>
    <w:rsid w:val="65187617"/>
    <w:rsid w:val="65B873F4"/>
    <w:rsid w:val="66607F15"/>
    <w:rsid w:val="66955334"/>
    <w:rsid w:val="669D52FB"/>
    <w:rsid w:val="669F0B6A"/>
    <w:rsid w:val="694C7119"/>
    <w:rsid w:val="6ABC4F00"/>
    <w:rsid w:val="6EF67A1A"/>
    <w:rsid w:val="70EF0E6E"/>
    <w:rsid w:val="72DB18FF"/>
    <w:rsid w:val="741772AA"/>
    <w:rsid w:val="74716134"/>
    <w:rsid w:val="75DA39AF"/>
    <w:rsid w:val="76450616"/>
    <w:rsid w:val="777E57AA"/>
    <w:rsid w:val="79452065"/>
    <w:rsid w:val="79C22499"/>
    <w:rsid w:val="7C6543A4"/>
    <w:rsid w:val="7D6342C7"/>
    <w:rsid w:val="7F5B0B7E"/>
    <w:rsid w:val="7F86256D"/>
    <w:rsid w:val="7F934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EB9C5-3C39-489C-90C1-8E9148D46A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1743</Words>
  <Characters>9939</Characters>
  <Lines>82</Lines>
  <Paragraphs>23</Paragraphs>
  <ScaleCrop>false</ScaleCrop>
  <LinksUpToDate>false</LinksUpToDate>
  <CharactersWithSpaces>11659</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CAIWU</cp:lastModifiedBy>
  <cp:lastPrinted>2021-08-30T02:19:00Z</cp:lastPrinted>
  <dcterms:modified xsi:type="dcterms:W3CDTF">2022-08-29T07:44:36Z</dcterms:modified>
  <dc:title>目 录</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