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spacing w:line="620" w:lineRule="exact"/>
        <w:ind w:left="359" w:leftChars="171" w:firstLine="280" w:firstLineChars="100"/>
        <w:rPr>
          <w:rFonts w:ascii="仿宋_GB2312" w:eastAsia="仿宋_GB2312"/>
          <w:sz w:val="28"/>
          <w:szCs w:val="28"/>
        </w:rPr>
      </w:pPr>
      <w:r>
        <w:rPr>
          <w:rFonts w:hint="eastAsia" w:ascii="仿宋_GB2312" w:eastAsia="仿宋_GB2312"/>
          <w:sz w:val="28"/>
          <w:szCs w:val="28"/>
        </w:rPr>
        <w:t>（一）本部门主要职责</w:t>
      </w:r>
    </w:p>
    <w:p>
      <w:pPr>
        <w:spacing w:line="620" w:lineRule="exact"/>
        <w:ind w:firstLine="560" w:firstLineChars="200"/>
        <w:rPr>
          <w:rFonts w:ascii="仿宋_GB2312" w:hAnsi="Tahoma" w:eastAsia="仿宋_GB2312" w:cs="Tahoma"/>
          <w:color w:val="000000"/>
          <w:sz w:val="28"/>
          <w:szCs w:val="28"/>
        </w:rPr>
      </w:pPr>
      <w:r>
        <w:rPr>
          <w:rFonts w:hint="eastAsia" w:ascii="仿宋_GB2312" w:hAnsi="Tahoma" w:eastAsia="仿宋_GB2312" w:cs="Tahoma"/>
          <w:color w:val="000000"/>
          <w:sz w:val="28"/>
          <w:szCs w:val="28"/>
        </w:rPr>
        <w:t>区人大常委会在区人民代表大会闭会期间，行使宪法和法律赋予的重大事项决定权、监督权和任免权。</w:t>
      </w:r>
    </w:p>
    <w:p>
      <w:pPr>
        <w:spacing w:line="620" w:lineRule="exact"/>
        <w:ind w:left="359" w:leftChars="171" w:firstLine="280" w:firstLineChars="100"/>
        <w:rPr>
          <w:rFonts w:ascii="仿宋_GB2312" w:hAnsi="宋体" w:eastAsia="仿宋_GB2312" w:cs="Tahoma"/>
          <w:color w:val="000000"/>
          <w:sz w:val="28"/>
          <w:szCs w:val="28"/>
        </w:rPr>
      </w:pPr>
      <w:r>
        <w:rPr>
          <w:rFonts w:hint="eastAsia" w:ascii="仿宋_GB2312" w:hAnsi="宋体" w:eastAsia="仿宋_GB2312" w:cs="Tahoma"/>
          <w:color w:val="000000"/>
          <w:sz w:val="28"/>
          <w:szCs w:val="28"/>
        </w:rPr>
        <w:t>（二）机构设置情况</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区人大常委会</w:t>
      </w:r>
      <w:r>
        <w:rPr>
          <w:rFonts w:hint="eastAsia" w:ascii="仿宋_GB2312" w:eastAsia="仿宋_GB2312"/>
          <w:sz w:val="28"/>
          <w:szCs w:val="28"/>
          <w:lang w:eastAsia="zh-CN"/>
        </w:rPr>
        <w:t>是行政单位。</w:t>
      </w:r>
    </w:p>
    <w:p>
      <w:pPr>
        <w:ind w:firstLine="560" w:firstLineChars="200"/>
        <w:rPr>
          <w:rFonts w:hint="eastAsia" w:ascii="仿宋_GB2312" w:eastAsia="仿宋_GB2312"/>
          <w:sz w:val="28"/>
          <w:szCs w:val="28"/>
        </w:rPr>
      </w:pPr>
      <w:r>
        <w:rPr>
          <w:rFonts w:hint="eastAsia" w:ascii="仿宋_GB2312" w:eastAsia="仿宋_GB2312"/>
          <w:sz w:val="28"/>
          <w:szCs w:val="28"/>
        </w:rPr>
        <w:t>设处级委室8个：区人大常委会办公室（下设秘书科、老干部科、行政科）；区人大常委会代表</w:t>
      </w:r>
      <w:r>
        <w:rPr>
          <w:rFonts w:hint="eastAsia" w:ascii="仿宋_GB2312" w:eastAsia="仿宋_GB2312"/>
          <w:sz w:val="28"/>
          <w:szCs w:val="28"/>
          <w:lang w:val="en-US" w:eastAsia="zh-CN"/>
        </w:rPr>
        <w:t>工作委员会</w:t>
      </w:r>
      <w:r>
        <w:rPr>
          <w:rFonts w:hint="eastAsia" w:ascii="仿宋_GB2312" w:eastAsia="仿宋_GB2312"/>
          <w:sz w:val="28"/>
          <w:szCs w:val="28"/>
        </w:rPr>
        <w:t>；区人大常委会法制</w:t>
      </w:r>
      <w:r>
        <w:rPr>
          <w:rFonts w:hint="eastAsia" w:ascii="仿宋_GB2312" w:eastAsia="仿宋_GB2312"/>
          <w:sz w:val="28"/>
          <w:szCs w:val="28"/>
          <w:lang w:val="en-US" w:eastAsia="zh-CN"/>
        </w:rPr>
        <w:t>工作委员会(加挂区人大常委会社会建设办公室牌子）</w:t>
      </w:r>
      <w:r>
        <w:rPr>
          <w:rFonts w:hint="eastAsia" w:ascii="仿宋_GB2312" w:eastAsia="仿宋_GB2312"/>
          <w:sz w:val="28"/>
          <w:szCs w:val="28"/>
        </w:rPr>
        <w:t>；区人大常委会财政经济办公室；区人大常委会农村办公室；区人大常委会教科文卫办公室；区人大常委会城建设环保办公室；区人大常委会研究室。</w:t>
      </w:r>
    </w:p>
    <w:p>
      <w:pPr>
        <w:ind w:firstLine="560" w:firstLineChars="200"/>
        <w:rPr>
          <w:rFonts w:ascii="仿宋_GB2312" w:eastAsia="仿宋_GB2312"/>
          <w:sz w:val="28"/>
          <w:szCs w:val="28"/>
        </w:rPr>
      </w:pPr>
      <w:r>
        <w:rPr>
          <w:rFonts w:hint="eastAsia" w:ascii="仿宋_GB2312" w:eastAsia="仿宋_GB2312"/>
          <w:sz w:val="28"/>
          <w:szCs w:val="28"/>
        </w:rPr>
        <w:t>设副处级委室1个：区人大常委会信访办公室。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年度收、</w:t>
      </w:r>
      <w:r>
        <w:rPr>
          <w:rFonts w:ascii="仿宋_GB2312" w:eastAsia="仿宋_GB2312"/>
          <w:color w:val="000000" w:themeColor="text1"/>
          <w:sz w:val="28"/>
          <w:szCs w:val="28"/>
          <w14:textFill>
            <w14:solidFill>
              <w14:schemeClr w14:val="tx1"/>
            </w14:solidFill>
          </w14:textFill>
        </w:rPr>
        <w:t>支</w:t>
      </w:r>
      <w:r>
        <w:rPr>
          <w:rFonts w:hint="eastAsia" w:ascii="仿宋_GB2312" w:eastAsia="仿宋_GB2312"/>
          <w:color w:val="000000" w:themeColor="text1"/>
          <w:sz w:val="28"/>
          <w:szCs w:val="28"/>
          <w14:textFill>
            <w14:solidFill>
              <w14:schemeClr w14:val="tx1"/>
            </w14:solidFill>
          </w14:textFill>
        </w:rPr>
        <w:t>总计</w:t>
      </w:r>
      <w:r>
        <w:rPr>
          <w:rFonts w:ascii="仿宋_GB2312" w:eastAsia="仿宋_GB2312"/>
          <w:color w:val="000000" w:themeColor="text1"/>
          <w:sz w:val="28"/>
          <w:szCs w:val="28"/>
          <w14:textFill>
            <w14:solidFill>
              <w14:schemeClr w14:val="tx1"/>
            </w14:solidFill>
          </w14:textFill>
        </w:rPr>
        <w:t>3701.42</w:t>
      </w:r>
      <w:r>
        <w:rPr>
          <w:rFonts w:hint="eastAsia" w:ascii="仿宋_GB2312" w:eastAsia="仿宋_GB2312"/>
          <w:color w:val="000000" w:themeColor="text1"/>
          <w:sz w:val="28"/>
          <w:szCs w:val="28"/>
          <w14:textFill>
            <w14:solidFill>
              <w14:schemeClr w14:val="tx1"/>
            </w14:solidFill>
          </w14:textFill>
        </w:rPr>
        <w:t>万元，</w:t>
      </w:r>
      <w:r>
        <w:rPr>
          <w:rFonts w:ascii="仿宋_GB2312" w:eastAsia="仿宋_GB2312"/>
          <w:color w:val="000000" w:themeColor="text1"/>
          <w:sz w:val="28"/>
          <w:szCs w:val="28"/>
          <w14:textFill>
            <w14:solidFill>
              <w14:schemeClr w14:val="tx1"/>
            </w14:solidFill>
          </w14:textFill>
        </w:rPr>
        <w:t>比上年</w:t>
      </w:r>
      <w:r>
        <w:rPr>
          <w:rFonts w:hint="eastAsia" w:ascii="仿宋_GB2312" w:eastAsia="仿宋_GB2312"/>
          <w:color w:val="000000" w:themeColor="text1"/>
          <w:sz w:val="28"/>
          <w:szCs w:val="28"/>
          <w:lang w:val="en-US" w:eastAsia="zh-CN"/>
          <w14:textFill>
            <w14:solidFill>
              <w14:schemeClr w14:val="tx1"/>
            </w14:solidFill>
          </w14:textFill>
        </w:rPr>
        <w:t>增加210.16</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val="en-US" w:eastAsia="zh-CN"/>
          <w14:textFill>
            <w14:solidFill>
              <w14:schemeClr w14:val="tx1"/>
            </w14:solidFill>
          </w14:textFill>
        </w:rPr>
        <w:t>增加6.02</w:t>
      </w:r>
      <w:r>
        <w:rPr>
          <w:rFonts w:hint="eastAsia" w:ascii="仿宋_GB2312" w:eastAsia="仿宋_GB2312"/>
          <w:color w:val="000000" w:themeColor="text1"/>
          <w:sz w:val="28"/>
          <w:szCs w:val="28"/>
          <w14:textFill>
            <w14:solidFill>
              <w14:schemeClr w14:val="tx1"/>
            </w14:solidFill>
          </w14:textFill>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3549.3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58.04</w:t>
      </w:r>
      <w:r>
        <w:rPr>
          <w:rFonts w:hint="eastAsia" w:ascii="仿宋_GB2312" w:eastAsia="仿宋_GB2312"/>
          <w:sz w:val="28"/>
          <w:szCs w:val="28"/>
        </w:rPr>
        <w:t>万元，增长</w:t>
      </w:r>
      <w:r>
        <w:rPr>
          <w:rFonts w:hint="eastAsia" w:ascii="仿宋_GB2312" w:eastAsia="仿宋_GB2312"/>
          <w:sz w:val="28"/>
          <w:szCs w:val="28"/>
          <w:lang w:val="en-US" w:eastAsia="zh-CN"/>
        </w:rPr>
        <w:t>1.66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3547.09</w:t>
      </w:r>
      <w:r>
        <w:rPr>
          <w:rFonts w:hint="eastAsia" w:ascii="仿宋_GB2312" w:eastAsia="仿宋_GB2312"/>
          <w:sz w:val="28"/>
          <w:szCs w:val="28"/>
        </w:rPr>
        <w:t>万元，占收入合计的</w:t>
      </w:r>
      <w:r>
        <w:rPr>
          <w:rFonts w:hint="eastAsia" w:ascii="仿宋_GB2312" w:eastAsia="仿宋_GB2312"/>
          <w:sz w:val="28"/>
          <w:szCs w:val="28"/>
          <w:lang w:eastAsia="zh-CN"/>
        </w:rPr>
        <w:t>99.94%。</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3547.09</w:t>
      </w:r>
      <w:r>
        <w:rPr>
          <w:rFonts w:hint="eastAsia" w:ascii="仿宋_GB2312" w:eastAsia="仿宋_GB2312"/>
          <w:sz w:val="28"/>
          <w:szCs w:val="28"/>
        </w:rPr>
        <w:t>万元，占收入合计的</w:t>
      </w:r>
      <w:r>
        <w:rPr>
          <w:rFonts w:hint="eastAsia" w:ascii="仿宋_GB2312" w:eastAsia="仿宋_GB2312"/>
          <w:sz w:val="28"/>
          <w:szCs w:val="28"/>
          <w:lang w:val="en-US" w:eastAsia="zh-CN"/>
        </w:rPr>
        <w:t>99.94</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2.21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0.06</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3694.08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增加202.82</w:t>
      </w:r>
      <w:r>
        <w:rPr>
          <w:rFonts w:hint="eastAsia" w:ascii="仿宋_GB2312" w:eastAsia="仿宋_GB2312"/>
          <w:sz w:val="28"/>
          <w:szCs w:val="28"/>
        </w:rPr>
        <w:t>万元，</w:t>
      </w:r>
      <w:r>
        <w:rPr>
          <w:rFonts w:hint="eastAsia" w:ascii="仿宋_GB2312" w:eastAsia="仿宋_GB2312"/>
          <w:sz w:val="28"/>
          <w:szCs w:val="28"/>
          <w:lang w:val="en-US" w:eastAsia="zh-CN"/>
        </w:rPr>
        <w:t>增加5.81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2882.86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78.04</w:t>
      </w:r>
      <w:r>
        <w:rPr>
          <w:rFonts w:hint="eastAsia" w:ascii="仿宋_GB2312" w:eastAsia="仿宋_GB2312"/>
          <w:sz w:val="28"/>
          <w:szCs w:val="28"/>
          <w:highlight w:val="none"/>
        </w:rPr>
        <w:t>%；项目支出</w:t>
      </w:r>
      <w:r>
        <w:rPr>
          <w:rFonts w:ascii="仿宋_GB2312" w:eastAsia="仿宋_GB2312"/>
          <w:sz w:val="28"/>
          <w:szCs w:val="28"/>
          <w:highlight w:val="none"/>
        </w:rPr>
        <w:t>811.22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21.96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3689.39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198.13</w:t>
      </w:r>
      <w:r>
        <w:rPr>
          <w:rFonts w:hint="eastAsia" w:ascii="仿宋_GB2312" w:eastAsia="仿宋_GB2312"/>
          <w:sz w:val="28"/>
          <w:szCs w:val="28"/>
        </w:rPr>
        <w:t>万元，增长</w:t>
      </w:r>
      <w:r>
        <w:rPr>
          <w:rFonts w:hint="eastAsia" w:ascii="仿宋_GB2312" w:eastAsia="仿宋_GB2312"/>
          <w:sz w:val="28"/>
          <w:szCs w:val="28"/>
          <w:lang w:val="en-US" w:eastAsia="zh-CN"/>
        </w:rPr>
        <w:t>5.67</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3689.39</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2962.93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80.31</w:t>
      </w:r>
      <w:r>
        <w:rPr>
          <w:rFonts w:hint="eastAsia" w:ascii="仿宋_GB2312" w:eastAsia="仿宋_GB2312"/>
          <w:sz w:val="28"/>
          <w:szCs w:val="28"/>
        </w:rPr>
        <w:t>%；</w:t>
      </w:r>
      <w:r>
        <w:rPr>
          <w:rFonts w:hint="eastAsia" w:ascii="仿宋_GB2312" w:eastAsia="仿宋_GB2312"/>
          <w:sz w:val="28"/>
          <w:szCs w:val="28"/>
          <w:lang w:val="en-US" w:eastAsia="zh-CN"/>
        </w:rPr>
        <w:t>教育支出32.15万元，占本年财政拨款支出0.87%；</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364.87万元，占本年财政拨款支出9.89%；卫生健康支出187.14万元，占本年财政拨款支出5.07%；住房保障支出142.3万元，占本年财政拨款支出3.86%</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3115.12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2962.93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3115.12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2962.93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95.11</w:t>
      </w:r>
      <w:r>
        <w:rPr>
          <w:rFonts w:hint="eastAsia" w:ascii="仿宋_GB2312" w:eastAsia="仿宋_GB2312"/>
          <w:sz w:val="28"/>
          <w:szCs w:val="28"/>
        </w:rPr>
        <w:t>%。主要原因：</w:t>
      </w:r>
      <w:r>
        <w:rPr>
          <w:rFonts w:hint="eastAsia" w:ascii="仿宋_GB2312" w:eastAsia="仿宋_GB2312"/>
          <w:sz w:val="28"/>
          <w:szCs w:val="28"/>
          <w:lang w:val="en-US" w:eastAsia="zh-CN"/>
        </w:rPr>
        <w:t>中心运行经费减少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78.41</w:t>
      </w:r>
      <w:r>
        <w:rPr>
          <w:rFonts w:hint="eastAsia" w:ascii="仿宋_GB2312" w:eastAsia="仿宋_GB2312"/>
          <w:sz w:val="28"/>
          <w:szCs w:val="28"/>
        </w:rPr>
        <w:t>%。其中：</w:t>
      </w:r>
    </w:p>
    <w:p>
      <w:pPr>
        <w:spacing w:line="580" w:lineRule="exact"/>
        <w:ind w:firstLine="560" w:firstLineChars="200"/>
        <w:rPr>
          <w:rFonts w:hint="default"/>
          <w:lang w:val="en-US"/>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78.41</w:t>
      </w:r>
      <w:r>
        <w:rPr>
          <w:rFonts w:hint="eastAsia" w:ascii="仿宋_GB2312" w:eastAsia="仿宋_GB2312"/>
          <w:sz w:val="28"/>
          <w:szCs w:val="28"/>
        </w:rPr>
        <w:t>%。主要原因：</w:t>
      </w:r>
      <w:r>
        <w:rPr>
          <w:rFonts w:hint="eastAsia" w:ascii="仿宋_GB2312" w:eastAsia="仿宋_GB2312"/>
          <w:color w:val="auto"/>
          <w:sz w:val="28"/>
          <w:szCs w:val="28"/>
          <w:lang w:val="en-US" w:eastAsia="zh-CN"/>
        </w:rPr>
        <w:t>节约的原则培训时间范围缩减，所以培训费减少。</w:t>
      </w:r>
    </w:p>
    <w:p>
      <w:pPr>
        <w:spacing w:line="580" w:lineRule="exact"/>
        <w:ind w:firstLine="560" w:firstLineChars="200"/>
        <w:rPr>
          <w:rFonts w:hint="eastAsia"/>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372.29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364.87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98.01</w:t>
      </w:r>
      <w:r>
        <w:rPr>
          <w:rFonts w:hint="eastAsia" w:ascii="仿宋_GB2312" w:eastAsia="仿宋_GB2312"/>
          <w:sz w:val="28"/>
          <w:szCs w:val="28"/>
        </w:rPr>
        <w:t>%。其中：</w:t>
      </w:r>
    </w:p>
    <w:p>
      <w:pPr>
        <w:spacing w:line="580" w:lineRule="exact"/>
        <w:ind w:firstLine="560" w:firstLineChars="200"/>
        <w:rPr>
          <w:rFonts w:hint="eastAsia" w:ascii="黑体" w:eastAsia="黑体"/>
          <w:b/>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372.29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364.87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98.01</w:t>
      </w:r>
      <w:r>
        <w:rPr>
          <w:rFonts w:hint="eastAsia" w:ascii="仿宋_GB2312" w:eastAsia="仿宋_GB2312"/>
          <w:sz w:val="28"/>
          <w:szCs w:val="28"/>
        </w:rPr>
        <w:t>%。主要原因：</w:t>
      </w:r>
      <w:r>
        <w:rPr>
          <w:rFonts w:hint="eastAsia" w:ascii="仿宋_GB2312" w:eastAsia="仿宋_GB2312"/>
          <w:sz w:val="28"/>
          <w:szCs w:val="28"/>
          <w:lang w:val="en-US" w:eastAsia="zh-CN"/>
        </w:rPr>
        <w:t>保险缴费调整。</w:t>
      </w:r>
    </w:p>
    <w:p>
      <w:pPr>
        <w:spacing w:line="580" w:lineRule="exact"/>
        <w:ind w:firstLine="560" w:firstLineChars="200"/>
        <w:rPr>
          <w:rFonts w:hint="eastAsia"/>
          <w:color w:val="000000" w:themeColor="text1"/>
          <w14:textFill>
            <w14:solidFill>
              <w14:schemeClr w14:val="tx1"/>
            </w14:solidFill>
          </w14:textFill>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187.14</w:t>
      </w:r>
      <w:r>
        <w:rPr>
          <w:rFonts w:hint="eastAsia" w:ascii="仿宋_GB2312" w:eastAsia="仿宋_GB2312"/>
          <w:sz w:val="28"/>
          <w:szCs w:val="28"/>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104.55</w:t>
      </w:r>
      <w:r>
        <w:rPr>
          <w:rFonts w:hint="eastAsia" w:ascii="仿宋_GB2312" w:eastAsia="仿宋_GB2312"/>
          <w:color w:val="000000" w:themeColor="text1"/>
          <w:sz w:val="28"/>
          <w:szCs w:val="28"/>
          <w14:textFill>
            <w14:solidFill>
              <w14:schemeClr w14:val="tx1"/>
            </w14:solidFill>
          </w14:textFill>
        </w:rPr>
        <w:t>%。其中：</w:t>
      </w:r>
    </w:p>
    <w:p>
      <w:pPr>
        <w:spacing w:line="580" w:lineRule="exact"/>
        <w:ind w:firstLine="560" w:firstLineChars="200"/>
        <w:rPr>
          <w:rFonts w:hint="eastAsia" w:ascii="黑体" w:eastAsia="黑体"/>
          <w:b/>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“行政事业单位医疗”（款）202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179</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187.14</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104.55</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val="en-US" w:eastAsia="zh-CN"/>
          <w14:textFill>
            <w14:solidFill>
              <w14:schemeClr w14:val="tx1"/>
            </w14:solidFill>
          </w14:textFill>
        </w:rPr>
        <w:t>事业人员增加、保险缴费调整。</w:t>
      </w:r>
    </w:p>
    <w:p>
      <w:pPr>
        <w:spacing w:line="580" w:lineRule="exact"/>
        <w:ind w:firstLine="560" w:firstLineChars="200"/>
        <w:rPr>
          <w:rFonts w:hint="eastAsia"/>
          <w:color w:val="000000" w:themeColor="text1"/>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住房保障支出</w:t>
      </w:r>
      <w:r>
        <w:rPr>
          <w:rFonts w:hint="eastAsia" w:ascii="仿宋_GB2312" w:eastAsia="仿宋_GB2312"/>
          <w:color w:val="000000" w:themeColor="text1"/>
          <w:sz w:val="28"/>
          <w:szCs w:val="28"/>
          <w14:textFill>
            <w14:solidFill>
              <w14:schemeClr w14:val="tx1"/>
            </w14:solidFill>
          </w14:textFill>
        </w:rPr>
        <w:t>”(类)202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142.3</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100</w:t>
      </w:r>
      <w:r>
        <w:rPr>
          <w:rFonts w:hint="eastAsia" w:ascii="仿宋_GB2312" w:eastAsia="仿宋_GB2312"/>
          <w:color w:val="000000" w:themeColor="text1"/>
          <w:sz w:val="28"/>
          <w:szCs w:val="28"/>
          <w14:textFill>
            <w14:solidFill>
              <w14:schemeClr w14:val="tx1"/>
            </w14:solidFill>
          </w14:textFill>
        </w:rPr>
        <w:t>%。其中：</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color w:val="000000" w:themeColor="text1"/>
          <w:sz w:val="28"/>
          <w:szCs w:val="28"/>
          <w14:textFill>
            <w14:solidFill>
              <w14:schemeClr w14:val="tx1"/>
            </w14:solidFill>
          </w14:textFill>
        </w:rPr>
        <w:t>“住房改革支出”（款）202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142.3</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100</w:t>
      </w:r>
      <w:r>
        <w:rPr>
          <w:rFonts w:hint="eastAsia" w:ascii="仿宋_GB2312" w:eastAsia="仿宋_GB2312"/>
          <w:color w:val="000000" w:themeColor="text1"/>
          <w:sz w:val="28"/>
          <w:szCs w:val="28"/>
          <w14:textFill>
            <w14:solidFill>
              <w14:schemeClr w14:val="tx1"/>
            </w14:solidFill>
          </w14:textFill>
        </w:rPr>
        <w:t>%。主</w:t>
      </w:r>
      <w:r>
        <w:rPr>
          <w:rFonts w:hint="eastAsia" w:ascii="仿宋_GB2312" w:eastAsia="仿宋_GB2312"/>
          <w:sz w:val="28"/>
          <w:szCs w:val="28"/>
        </w:rPr>
        <w:t>要原因：</w:t>
      </w:r>
      <w:r>
        <w:rPr>
          <w:rFonts w:hint="eastAsia" w:ascii="仿宋_GB2312" w:eastAsia="仿宋_GB2312"/>
          <w:sz w:val="28"/>
          <w:szCs w:val="28"/>
          <w:lang w:val="en-US" w:eastAsia="zh-CN"/>
        </w:rPr>
        <w:t>补发住房补贴。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本单位2024年无政府性基金预算财政拨款安排的支出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2882.86</w:t>
      </w:r>
      <w:r>
        <w:rPr>
          <w:rFonts w:hint="eastAsia" w:ascii="仿宋_GB2312" w:eastAsia="仿宋_GB2312"/>
          <w:sz w:val="28"/>
          <w:szCs w:val="28"/>
        </w:rPr>
        <w:t>万元，</w:t>
      </w:r>
      <w:r>
        <w:rPr>
          <w:rFonts w:hint="eastAsia" w:ascii="仿宋_GB2312" w:eastAsia="仿宋_GB2312"/>
          <w:color w:val="000000" w:themeColor="text1"/>
          <w:sz w:val="28"/>
          <w:szCs w:val="28"/>
          <w14:textFill>
            <w14:solidFill>
              <w14:schemeClr w14:val="tx1"/>
            </w14:solidFill>
          </w14:textFill>
        </w:rPr>
        <w:t>使用政府性基金财政拨款安排基本支出</w:t>
      </w:r>
      <w:r>
        <w:rPr>
          <w:rFonts w:ascii="仿宋_GB2312" w:eastAsia="仿宋_GB2312"/>
          <w:color w:val="000000" w:themeColor="text1"/>
          <w:sz w:val="28"/>
          <w:szCs w:val="28"/>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val="en-US" w:eastAsia="zh-CN"/>
          <w14:textFill>
            <w14:solidFill>
              <w14:schemeClr w14:val="tx1"/>
            </w14:solidFill>
          </w14:textFill>
        </w:rPr>
        <w:t>其中：</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25.26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12.6</w:t>
      </w:r>
      <w:r>
        <w:rPr>
          <w:rFonts w:hint="eastAsia" w:ascii="仿宋_GB2312" w:eastAsia="仿宋_GB2312"/>
          <w:sz w:val="28"/>
          <w:szCs w:val="28"/>
        </w:rPr>
        <w:t>万元增加</w:t>
      </w:r>
      <w:r>
        <w:rPr>
          <w:rFonts w:hint="eastAsia" w:ascii="仿宋_GB2312" w:eastAsia="仿宋_GB2312"/>
          <w:sz w:val="28"/>
          <w:szCs w:val="28"/>
          <w:lang w:val="en-US" w:eastAsia="zh-CN"/>
        </w:rPr>
        <w:t>12.66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本年度未发生此项支出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厉行节约、严格按照公务接待费支出标准，本年未</w:t>
      </w:r>
      <w:r>
        <w:rPr>
          <w:rFonts w:hint="eastAsia" w:ascii="仿宋_GB2312" w:eastAsia="仿宋_GB2312"/>
          <w:sz w:val="28"/>
          <w:szCs w:val="28"/>
          <w:lang w:val="en-US" w:eastAsia="zh-CN"/>
        </w:rPr>
        <w:t>发生</w:t>
      </w:r>
      <w:r>
        <w:rPr>
          <w:rFonts w:hint="eastAsia" w:ascii="仿宋_GB2312" w:eastAsia="仿宋_GB2312"/>
          <w:sz w:val="28"/>
          <w:szCs w:val="28"/>
          <w:lang w:eastAsia="zh-CN"/>
        </w:rPr>
        <w:t>接待支出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25.26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w:t>
      </w:r>
      <w:r>
        <w:rPr>
          <w:rFonts w:hint="eastAsia" w:ascii="仿宋_GB2312" w:eastAsia="仿宋_GB2312"/>
          <w:sz w:val="28"/>
          <w:szCs w:val="28"/>
          <w:lang w:val="en-US" w:eastAsia="zh-CN"/>
        </w:rPr>
        <w:t>12.60</w:t>
      </w:r>
      <w:r>
        <w:rPr>
          <w:rFonts w:hint="eastAsia" w:ascii="仿宋_GB2312" w:eastAsia="仿宋_GB2312"/>
          <w:sz w:val="28"/>
          <w:szCs w:val="28"/>
        </w:rPr>
        <w:t>万元</w:t>
      </w:r>
      <w:r>
        <w:rPr>
          <w:rFonts w:hint="eastAsia" w:ascii="仿宋_GB2312" w:eastAsia="仿宋_GB2312"/>
          <w:sz w:val="28"/>
          <w:szCs w:val="28"/>
          <w:lang w:val="en-US" w:eastAsia="zh-CN"/>
        </w:rPr>
        <w:t>增加12.66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18.4</w:t>
      </w:r>
      <w:r>
        <w:rPr>
          <w:rFonts w:hint="eastAsia" w:ascii="仿宋_GB2312" w:eastAsia="仿宋_GB2312"/>
          <w:sz w:val="28"/>
          <w:szCs w:val="28"/>
        </w:rPr>
        <w:t>万元，主要原因</w:t>
      </w:r>
      <w:r>
        <w:rPr>
          <w:rFonts w:hint="eastAsia" w:ascii="仿宋_GB2312" w:eastAsia="仿宋_GB2312"/>
          <w:sz w:val="28"/>
          <w:szCs w:val="28"/>
          <w:lang w:val="en-US" w:eastAsia="zh-CN"/>
        </w:rPr>
        <w:t>是新购置一辆公务用车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6.86</w:t>
      </w:r>
      <w:r>
        <w:rPr>
          <w:rFonts w:hint="eastAsia" w:ascii="仿宋_GB2312" w:eastAsia="仿宋_GB2312"/>
          <w:sz w:val="28"/>
          <w:szCs w:val="28"/>
        </w:rPr>
        <w:t>万元，主要原因</w:t>
      </w:r>
      <w:r>
        <w:rPr>
          <w:rFonts w:hint="eastAsia" w:ascii="仿宋_GB2312" w:eastAsia="仿宋_GB2312"/>
          <w:sz w:val="28"/>
          <w:szCs w:val="28"/>
          <w:lang w:eastAsia="zh-CN"/>
        </w:rPr>
        <w:t>是厉行节约严格管理公务用车标准，所以本年度公务用车运行维护费用减少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hAnsi="Times New Roman" w:eastAsia="仿宋_GB2312" w:cs="Times New Roman"/>
          <w:color w:val="auto"/>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172.9</w:t>
      </w:r>
      <w:r>
        <w:rPr>
          <w:rFonts w:hint="eastAsia" w:ascii="仿宋_GB2312" w:eastAsia="仿宋_GB2312"/>
          <w:sz w:val="28"/>
          <w:szCs w:val="28"/>
        </w:rPr>
        <w:t>万元，</w:t>
      </w:r>
      <w:r>
        <w:rPr>
          <w:rFonts w:hint="eastAsia" w:ascii="仿宋_GB2312" w:eastAsia="仿宋_GB2312"/>
          <w:color w:val="auto"/>
          <w:sz w:val="28"/>
          <w:szCs w:val="28"/>
          <w:highlight w:val="none"/>
        </w:rPr>
        <w:t>比上年</w:t>
      </w:r>
      <w:r>
        <w:rPr>
          <w:rFonts w:hint="eastAsia" w:ascii="仿宋_GB2312" w:eastAsia="仿宋_GB2312"/>
          <w:color w:val="auto"/>
          <w:sz w:val="28"/>
          <w:szCs w:val="28"/>
          <w:highlight w:val="none"/>
          <w:lang w:val="en-US" w:eastAsia="zh-CN"/>
        </w:rPr>
        <w:t>决算增加60.46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原因</w:t>
      </w:r>
      <w:r>
        <w:rPr>
          <w:rFonts w:hint="eastAsia" w:ascii="仿宋_GB2312" w:eastAsia="仿宋_GB2312"/>
          <w:color w:val="auto"/>
          <w:sz w:val="28"/>
          <w:szCs w:val="28"/>
          <w:highlight w:val="none"/>
          <w:lang w:eastAsia="zh-CN"/>
        </w:rPr>
        <w:t>是</w:t>
      </w:r>
      <w:r>
        <w:rPr>
          <w:rFonts w:hint="eastAsia" w:ascii="仿宋_GB2312" w:hAnsi="Times New Roman" w:eastAsia="仿宋_GB2312" w:cs="Times New Roman"/>
          <w:color w:val="auto"/>
          <w:sz w:val="28"/>
          <w:szCs w:val="28"/>
          <w:lang w:val="en-US" w:eastAsia="zh-CN"/>
        </w:rPr>
        <w:t>上年未将其他交通费纳入同统计范围</w:t>
      </w:r>
      <w:r>
        <w:rPr>
          <w:rFonts w:hint="eastAsia" w:ascii="仿宋_GB2312" w:hAnsi="Times New Roman" w:eastAsia="仿宋_GB2312" w:cs="Times New Roman"/>
          <w:color w:val="auto"/>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bookmarkStart w:id="0" w:name="_GoBack"/>
      <w:bookmarkEnd w:id="0"/>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827.49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20.06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807.43</w:t>
      </w:r>
      <w:r>
        <w:rPr>
          <w:rFonts w:hint="eastAsia" w:ascii="仿宋_GB2312" w:eastAsia="仿宋_GB2312"/>
          <w:sz w:val="28"/>
          <w:szCs w:val="28"/>
        </w:rPr>
        <w:t>万元。授予中小企业合同金额</w:t>
      </w:r>
      <w:r>
        <w:rPr>
          <w:rFonts w:ascii="仿宋_GB2312" w:eastAsia="仿宋_GB2312"/>
          <w:sz w:val="28"/>
          <w:szCs w:val="28"/>
        </w:rPr>
        <w:t>806.7</w:t>
      </w:r>
      <w:r>
        <w:rPr>
          <w:rFonts w:hint="eastAsia" w:ascii="仿宋_GB2312" w:eastAsia="仿宋_GB2312"/>
          <w:sz w:val="28"/>
          <w:szCs w:val="28"/>
        </w:rPr>
        <w:t>万元，占政府采购支出总额的</w:t>
      </w:r>
      <w:r>
        <w:rPr>
          <w:rFonts w:hint="eastAsia" w:ascii="仿宋_GB2312" w:eastAsia="仿宋_GB2312"/>
          <w:sz w:val="28"/>
          <w:szCs w:val="28"/>
          <w:lang w:eastAsia="zh-CN"/>
        </w:rPr>
        <w:t>97.49</w:t>
      </w:r>
      <w:r>
        <w:rPr>
          <w:rFonts w:hint="eastAsia" w:ascii="仿宋_GB2312" w:eastAsia="仿宋_GB2312"/>
          <w:sz w:val="28"/>
          <w:szCs w:val="28"/>
        </w:rPr>
        <w:t>%，其中：授予小微企业合同金额</w:t>
      </w:r>
      <w:r>
        <w:rPr>
          <w:rFonts w:ascii="仿宋_GB2312" w:eastAsia="仿宋_GB2312"/>
          <w:sz w:val="28"/>
          <w:szCs w:val="28"/>
        </w:rPr>
        <w:t>698.35</w:t>
      </w:r>
      <w:r>
        <w:rPr>
          <w:rFonts w:hint="eastAsia" w:ascii="仿宋_GB2312" w:eastAsia="仿宋_GB2312"/>
          <w:sz w:val="28"/>
          <w:szCs w:val="28"/>
        </w:rPr>
        <w:t>万元，占政府采购支出总额的</w:t>
      </w:r>
      <w:r>
        <w:rPr>
          <w:rFonts w:ascii="仿宋_GB2312" w:eastAsia="仿宋_GB2312"/>
          <w:sz w:val="28"/>
          <w:szCs w:val="28"/>
        </w:rPr>
        <w:t>84.39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12月31日，北京市大兴区人民代表大会常务委员会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0A74E8"/>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D92FA1"/>
    <w:rsid w:val="257A14F5"/>
    <w:rsid w:val="26FE6E67"/>
    <w:rsid w:val="27196C26"/>
    <w:rsid w:val="29EF086F"/>
    <w:rsid w:val="2AD51BC7"/>
    <w:rsid w:val="2AEF5324"/>
    <w:rsid w:val="2BC34C59"/>
    <w:rsid w:val="2C0834B8"/>
    <w:rsid w:val="2EFFE297"/>
    <w:rsid w:val="301437CA"/>
    <w:rsid w:val="32AB3C70"/>
    <w:rsid w:val="337128AC"/>
    <w:rsid w:val="349D1F0A"/>
    <w:rsid w:val="34DD0473"/>
    <w:rsid w:val="3A8E35DC"/>
    <w:rsid w:val="3C684897"/>
    <w:rsid w:val="3C8B1A25"/>
    <w:rsid w:val="42A731C0"/>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5FFE0EF9"/>
    <w:rsid w:val="60A54109"/>
    <w:rsid w:val="61D01CDF"/>
    <w:rsid w:val="64C0607C"/>
    <w:rsid w:val="65756C86"/>
    <w:rsid w:val="674D385B"/>
    <w:rsid w:val="676F09E1"/>
    <w:rsid w:val="71393C45"/>
    <w:rsid w:val="71691990"/>
    <w:rsid w:val="71793A80"/>
    <w:rsid w:val="7357290B"/>
    <w:rsid w:val="756E3DEA"/>
    <w:rsid w:val="76914404"/>
    <w:rsid w:val="76FB1693"/>
    <w:rsid w:val="798524E4"/>
    <w:rsid w:val="7A7F1C49"/>
    <w:rsid w:val="7B5B7AE6"/>
    <w:rsid w:val="7B7B6628"/>
    <w:rsid w:val="7BA7071E"/>
    <w:rsid w:val="7BDF6DA8"/>
    <w:rsid w:val="7C7EDC1A"/>
    <w:rsid w:val="7CA0213A"/>
    <w:rsid w:val="7CB50B5E"/>
    <w:rsid w:val="7CCED98D"/>
    <w:rsid w:val="7D063C0C"/>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2">
    <w:name w:val="heading 4"/>
    <w:basedOn w:val="1"/>
    <w:next w:val="1"/>
    <w:unhideWhenUsed/>
    <w:qFormat/>
    <w:uiPriority w:val="0"/>
    <w:pPr>
      <w:spacing w:before="280" w:after="290" w:line="376" w:lineRule="auto"/>
      <w:outlineLvl w:val="3"/>
    </w:pPr>
    <w:rPr>
      <w:rFonts w:ascii="Arial" w:hAnsi="Arial" w:eastAsia="黑体"/>
      <w:b/>
      <w:bCs/>
      <w:sz w:val="28"/>
      <w:szCs w:val="28"/>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3547.09</c:v>
                </c:pt>
                <c:pt idx="1">
                  <c:v>0</c:v>
                </c:pt>
                <c:pt idx="2">
                  <c:v>0</c:v>
                </c:pt>
                <c:pt idx="3">
                  <c:v>0</c:v>
                </c:pt>
                <c:pt idx="4">
                  <c:v>0</c:v>
                </c:pt>
                <c:pt idx="5">
                  <c:v>2.21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2882.86</c:v>
                </c:pt>
                <c:pt idx="1">
                  <c:v>811.22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2025-09-25T05:54:27Z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